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8670A5" w:rsidP="004C6CFF">
            <w:pPr>
              <w:widowControl w:val="0"/>
              <w:ind w:right="397"/>
              <w:jc w:val="both"/>
              <w:rPr>
                <w:b/>
                <w:bCs/>
              </w:rPr>
            </w:pPr>
            <w:r>
              <w:rPr>
                <w:b/>
              </w:rPr>
              <w:t xml:space="preserve"> </w:t>
            </w:r>
            <w:r w:rsidR="0064794D">
              <w:rPr>
                <w:b/>
              </w:rPr>
              <w:t>WEST AREA PLANNING COMMITTEE</w:t>
            </w:r>
          </w:p>
        </w:tc>
        <w:tc>
          <w:tcPr>
            <w:tcW w:w="3793" w:type="dxa"/>
          </w:tcPr>
          <w:p w:rsidR="006572A4" w:rsidRDefault="0064794D" w:rsidP="001E72F4">
            <w:pPr>
              <w:widowControl w:val="0"/>
              <w:jc w:val="right"/>
            </w:pPr>
            <w:r>
              <w:t>11 December 2018</w:t>
            </w:r>
          </w:p>
        </w:tc>
      </w:tr>
    </w:tbl>
    <w:p w:rsidR="006572A4" w:rsidRDefault="006572A4" w:rsidP="004C6CFF">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4C6CFF">
            <w:pPr>
              <w:jc w:val="both"/>
            </w:pPr>
            <w:r>
              <w:rPr>
                <w:b/>
                <w:bCs/>
              </w:rPr>
              <w:t xml:space="preserve">Application </w:t>
            </w:r>
            <w:r w:rsidR="00B6080E">
              <w:rPr>
                <w:b/>
                <w:bCs/>
              </w:rPr>
              <w:t>n</w:t>
            </w:r>
            <w:r>
              <w:rPr>
                <w:b/>
                <w:bCs/>
              </w:rPr>
              <w:t>umber:</w:t>
            </w:r>
          </w:p>
        </w:tc>
        <w:tc>
          <w:tcPr>
            <w:tcW w:w="6344" w:type="dxa"/>
          </w:tcPr>
          <w:p w:rsidR="006572A4" w:rsidRDefault="00323851" w:rsidP="004C6CFF">
            <w:pPr>
              <w:jc w:val="both"/>
            </w:pPr>
            <w:r>
              <w:t>18/02540/FUL</w:t>
            </w:r>
          </w:p>
        </w:tc>
      </w:tr>
      <w:tr w:rsidR="006572A4" w:rsidTr="00B6080E">
        <w:tc>
          <w:tcPr>
            <w:tcW w:w="2943" w:type="dxa"/>
          </w:tcPr>
          <w:p w:rsidR="006572A4" w:rsidRDefault="006572A4" w:rsidP="004C6CFF">
            <w:pPr>
              <w:jc w:val="both"/>
            </w:pPr>
          </w:p>
        </w:tc>
        <w:tc>
          <w:tcPr>
            <w:tcW w:w="6344" w:type="dxa"/>
          </w:tcPr>
          <w:p w:rsidR="006572A4" w:rsidRDefault="006572A4" w:rsidP="004C6CFF">
            <w:pPr>
              <w:jc w:val="both"/>
            </w:pPr>
          </w:p>
        </w:tc>
      </w:tr>
      <w:tr w:rsidR="006572A4" w:rsidTr="00B6080E">
        <w:tc>
          <w:tcPr>
            <w:tcW w:w="2943" w:type="dxa"/>
          </w:tcPr>
          <w:p w:rsidR="006572A4" w:rsidRDefault="00B6080E" w:rsidP="004C6CFF">
            <w:pPr>
              <w:jc w:val="both"/>
            </w:pPr>
            <w:r>
              <w:rPr>
                <w:b/>
                <w:bCs/>
              </w:rPr>
              <w:t>Decision due by</w:t>
            </w:r>
          </w:p>
        </w:tc>
        <w:tc>
          <w:tcPr>
            <w:tcW w:w="6344" w:type="dxa"/>
          </w:tcPr>
          <w:p w:rsidR="00AD7F54" w:rsidRPr="000E777F" w:rsidRDefault="00323851" w:rsidP="001E72F4">
            <w:pPr>
              <w:jc w:val="both"/>
            </w:pPr>
            <w:r>
              <w:t>28</w:t>
            </w:r>
            <w:bookmarkStart w:id="0" w:name="_GoBack"/>
            <w:bookmarkEnd w:id="0"/>
            <w:r>
              <w:t xml:space="preserve"> November 2018</w:t>
            </w:r>
          </w:p>
        </w:tc>
      </w:tr>
      <w:tr w:rsidR="006572A4" w:rsidTr="00B6080E">
        <w:tc>
          <w:tcPr>
            <w:tcW w:w="2943" w:type="dxa"/>
          </w:tcPr>
          <w:p w:rsidR="006572A4" w:rsidRDefault="006572A4" w:rsidP="004C6CFF">
            <w:pPr>
              <w:jc w:val="both"/>
            </w:pPr>
          </w:p>
        </w:tc>
        <w:tc>
          <w:tcPr>
            <w:tcW w:w="6344" w:type="dxa"/>
          </w:tcPr>
          <w:p w:rsidR="006572A4" w:rsidRDefault="006572A4" w:rsidP="004C6CFF">
            <w:pPr>
              <w:jc w:val="both"/>
            </w:pPr>
          </w:p>
        </w:tc>
      </w:tr>
      <w:tr w:rsidR="00AD7F54" w:rsidTr="00B6080E">
        <w:tc>
          <w:tcPr>
            <w:tcW w:w="2943" w:type="dxa"/>
          </w:tcPr>
          <w:p w:rsidR="00AD7F54" w:rsidRDefault="00AD7F54" w:rsidP="004C6CFF">
            <w:pPr>
              <w:jc w:val="both"/>
            </w:pPr>
          </w:p>
        </w:tc>
        <w:tc>
          <w:tcPr>
            <w:tcW w:w="6344" w:type="dxa"/>
          </w:tcPr>
          <w:p w:rsidR="00AD7F54" w:rsidRDefault="00AD7F54" w:rsidP="004C6CFF">
            <w:pPr>
              <w:jc w:val="both"/>
            </w:pPr>
          </w:p>
        </w:tc>
      </w:tr>
      <w:tr w:rsidR="006572A4" w:rsidTr="00B6080E">
        <w:tc>
          <w:tcPr>
            <w:tcW w:w="2943" w:type="dxa"/>
          </w:tcPr>
          <w:p w:rsidR="006572A4" w:rsidRDefault="00B6080E" w:rsidP="004C6CFF">
            <w:pPr>
              <w:jc w:val="both"/>
              <w:rPr>
                <w:b/>
                <w:bCs/>
              </w:rPr>
            </w:pPr>
            <w:r>
              <w:rPr>
                <w:b/>
                <w:bCs/>
              </w:rPr>
              <w:t>Proposal</w:t>
            </w:r>
          </w:p>
        </w:tc>
        <w:tc>
          <w:tcPr>
            <w:tcW w:w="6344" w:type="dxa"/>
          </w:tcPr>
          <w:p w:rsidR="006572A4" w:rsidRDefault="00AD0522" w:rsidP="004C6CFF">
            <w:pPr>
              <w:jc w:val="both"/>
            </w:pPr>
            <w:r>
              <w:t>Change of use of dwellinghouse (Use Class C3) to a House in Mul</w:t>
            </w:r>
            <w:r w:rsidR="004A66C4">
              <w:t>tiple Occupation (Use Class C4)</w:t>
            </w:r>
          </w:p>
        </w:tc>
      </w:tr>
      <w:tr w:rsidR="006572A4" w:rsidTr="00B6080E">
        <w:tc>
          <w:tcPr>
            <w:tcW w:w="2943" w:type="dxa"/>
          </w:tcPr>
          <w:p w:rsidR="006572A4" w:rsidRDefault="006572A4" w:rsidP="004C6CFF">
            <w:pPr>
              <w:jc w:val="both"/>
              <w:rPr>
                <w:b/>
                <w:bCs/>
              </w:rPr>
            </w:pPr>
          </w:p>
        </w:tc>
        <w:tc>
          <w:tcPr>
            <w:tcW w:w="6344" w:type="dxa"/>
          </w:tcPr>
          <w:p w:rsidR="006572A4" w:rsidRDefault="006572A4" w:rsidP="004C6CFF">
            <w:pPr>
              <w:jc w:val="both"/>
            </w:pPr>
          </w:p>
        </w:tc>
      </w:tr>
      <w:tr w:rsidR="006572A4" w:rsidTr="00B6080E">
        <w:tc>
          <w:tcPr>
            <w:tcW w:w="2943" w:type="dxa"/>
          </w:tcPr>
          <w:p w:rsidR="006572A4" w:rsidRDefault="00B6080E" w:rsidP="004C6CFF">
            <w:pPr>
              <w:jc w:val="both"/>
              <w:rPr>
                <w:b/>
                <w:bCs/>
              </w:rPr>
            </w:pPr>
            <w:r>
              <w:rPr>
                <w:b/>
                <w:bCs/>
              </w:rPr>
              <w:t>Site address</w:t>
            </w:r>
          </w:p>
        </w:tc>
        <w:tc>
          <w:tcPr>
            <w:tcW w:w="6344" w:type="dxa"/>
          </w:tcPr>
          <w:p w:rsidR="006572A4" w:rsidRDefault="005651B3" w:rsidP="004C6CFF">
            <w:r>
              <w:t>13 Dale Close</w:t>
            </w:r>
            <w:r w:rsidR="00B6080E">
              <w:t>,</w:t>
            </w:r>
            <w:r>
              <w:t xml:space="preserve"> Oxford</w:t>
            </w:r>
            <w:r w:rsidR="005C7AA3">
              <w:t xml:space="preserve">, OX1 1TU, </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4C6CFF">
            <w:pPr>
              <w:jc w:val="both"/>
            </w:pPr>
          </w:p>
        </w:tc>
        <w:tc>
          <w:tcPr>
            <w:tcW w:w="6344" w:type="dxa"/>
          </w:tcPr>
          <w:p w:rsidR="006572A4" w:rsidRDefault="006572A4" w:rsidP="004C6CFF">
            <w:pPr>
              <w:jc w:val="both"/>
            </w:pPr>
          </w:p>
        </w:tc>
      </w:tr>
      <w:tr w:rsidR="006572A4" w:rsidTr="00B6080E">
        <w:tc>
          <w:tcPr>
            <w:tcW w:w="2943" w:type="dxa"/>
          </w:tcPr>
          <w:p w:rsidR="006572A4" w:rsidRDefault="00B6080E" w:rsidP="004C6CFF">
            <w:pPr>
              <w:jc w:val="both"/>
              <w:rPr>
                <w:b/>
                <w:bCs/>
              </w:rPr>
            </w:pPr>
            <w:r>
              <w:rPr>
                <w:b/>
                <w:bCs/>
              </w:rPr>
              <w:t>Ward</w:t>
            </w:r>
          </w:p>
        </w:tc>
        <w:tc>
          <w:tcPr>
            <w:tcW w:w="6344" w:type="dxa"/>
          </w:tcPr>
          <w:p w:rsidR="006572A4" w:rsidRDefault="00623C46" w:rsidP="004C6CFF">
            <w:pPr>
              <w:jc w:val="both"/>
            </w:pPr>
            <w:r>
              <w:t>Hinksey Park</w:t>
            </w:r>
          </w:p>
        </w:tc>
      </w:tr>
      <w:tr w:rsidR="00B6080E" w:rsidTr="00B6080E">
        <w:tc>
          <w:tcPr>
            <w:tcW w:w="2943" w:type="dxa"/>
          </w:tcPr>
          <w:p w:rsidR="00B6080E" w:rsidRDefault="00B6080E" w:rsidP="004C6CFF">
            <w:pPr>
              <w:jc w:val="both"/>
              <w:rPr>
                <w:b/>
                <w:bCs/>
              </w:rPr>
            </w:pPr>
          </w:p>
        </w:tc>
        <w:tc>
          <w:tcPr>
            <w:tcW w:w="6344" w:type="dxa"/>
          </w:tcPr>
          <w:p w:rsidR="00B6080E" w:rsidRDefault="00B6080E" w:rsidP="004C6CFF">
            <w:pPr>
              <w:jc w:val="both"/>
            </w:pPr>
          </w:p>
        </w:tc>
      </w:tr>
      <w:tr w:rsidR="00B6080E" w:rsidTr="00B6080E">
        <w:tc>
          <w:tcPr>
            <w:tcW w:w="2943" w:type="dxa"/>
          </w:tcPr>
          <w:p w:rsidR="00B6080E" w:rsidRDefault="00B6080E" w:rsidP="004C6CFF">
            <w:pPr>
              <w:rPr>
                <w:b/>
                <w:bCs/>
              </w:rPr>
            </w:pPr>
            <w:r>
              <w:rPr>
                <w:b/>
                <w:bCs/>
              </w:rPr>
              <w:t>Case officer</w:t>
            </w:r>
          </w:p>
        </w:tc>
        <w:tc>
          <w:tcPr>
            <w:tcW w:w="6344" w:type="dxa"/>
          </w:tcPr>
          <w:p w:rsidR="00B6080E" w:rsidRDefault="00B6080E" w:rsidP="004C6CFF">
            <w:pPr>
              <w:jc w:val="both"/>
            </w:pPr>
            <w:r>
              <w:t>Jeffrey Penfold</w:t>
            </w:r>
          </w:p>
        </w:tc>
      </w:tr>
    </w:tbl>
    <w:p w:rsidR="006572A4" w:rsidRDefault="006572A4" w:rsidP="004C6CFF">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4C6CFF">
            <w:r w:rsidRPr="00F448A8">
              <w:rPr>
                <w:b/>
                <w:bCs/>
              </w:rPr>
              <w:t>Agent:</w:t>
            </w:r>
            <w:r w:rsidRPr="00F448A8">
              <w:t xml:space="preserve"> </w:t>
            </w:r>
          </w:p>
        </w:tc>
        <w:tc>
          <w:tcPr>
            <w:tcW w:w="2115" w:type="dxa"/>
          </w:tcPr>
          <w:p w:rsidR="00F448A8" w:rsidRPr="00F448A8" w:rsidRDefault="00F448A8" w:rsidP="004C6CFF">
            <w:r w:rsidRPr="00F448A8">
              <w:t>Mr Kieron Roberts</w:t>
            </w:r>
          </w:p>
        </w:tc>
        <w:tc>
          <w:tcPr>
            <w:tcW w:w="1854" w:type="dxa"/>
          </w:tcPr>
          <w:p w:rsidR="00F448A8" w:rsidRPr="00F448A8" w:rsidRDefault="00F448A8" w:rsidP="004C6CFF">
            <w:r w:rsidRPr="00F448A8">
              <w:rPr>
                <w:b/>
                <w:bCs/>
              </w:rPr>
              <w:t>Applicant:</w:t>
            </w:r>
            <w:r w:rsidRPr="00F448A8">
              <w:t xml:space="preserve"> </w:t>
            </w:r>
          </w:p>
        </w:tc>
        <w:tc>
          <w:tcPr>
            <w:tcW w:w="2376" w:type="dxa"/>
          </w:tcPr>
          <w:p w:rsidR="00F448A8" w:rsidRPr="00F448A8" w:rsidRDefault="00F448A8" w:rsidP="004C6CFF">
            <w:r w:rsidRPr="00F448A8">
              <w:t>Miss Kirsti Brisk</w:t>
            </w:r>
          </w:p>
        </w:tc>
      </w:tr>
    </w:tbl>
    <w:p w:rsidR="00B6080E" w:rsidRDefault="00B6080E" w:rsidP="004C6CFF"/>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4C6CFF">
            <w:pPr>
              <w:rPr>
                <w:b/>
                <w:bCs/>
              </w:rPr>
            </w:pPr>
            <w:r>
              <w:rPr>
                <w:b/>
              </w:rPr>
              <w:t>Reason at Committee</w:t>
            </w:r>
          </w:p>
        </w:tc>
        <w:tc>
          <w:tcPr>
            <w:tcW w:w="6345" w:type="dxa"/>
          </w:tcPr>
          <w:p w:rsidR="00B6080E" w:rsidRPr="00F448A8" w:rsidRDefault="0064794D" w:rsidP="004C6CFF">
            <w:r>
              <w:t>Called in by Councillors Tidbull, Tanner, Clarkson, Pressel and Curran because of concerns that the application property is situated on a small estate where there are already a number of HMOs and there is a perception that the area would be ill-suited to accommodating additional HMOs.</w:t>
            </w:r>
          </w:p>
        </w:tc>
      </w:tr>
    </w:tbl>
    <w:p w:rsidR="00AF1B8E" w:rsidRDefault="00AF1B8E" w:rsidP="004C6CFF">
      <w:pPr>
        <w:pBdr>
          <w:bottom w:val="single" w:sz="4" w:space="1" w:color="auto"/>
        </w:pBdr>
        <w:jc w:val="both"/>
      </w:pPr>
    </w:p>
    <w:p w:rsidR="006572A4" w:rsidRDefault="006572A4" w:rsidP="004C6CFF">
      <w:pPr>
        <w:pStyle w:val="Header"/>
        <w:widowControl w:val="0"/>
        <w:tabs>
          <w:tab w:val="clear" w:pos="4153"/>
          <w:tab w:val="clear" w:pos="8306"/>
        </w:tabs>
        <w:jc w:val="both"/>
      </w:pPr>
    </w:p>
    <w:p w:rsidR="00AF1B8E" w:rsidRPr="001C752D" w:rsidRDefault="00AF1B8E" w:rsidP="004C6CFF">
      <w:pPr>
        <w:pStyle w:val="HEADINGA"/>
        <w:rPr>
          <w:b w:val="0"/>
        </w:rPr>
      </w:pPr>
      <w:r w:rsidRPr="00D34CE3">
        <w:t>RECOMMENDATION</w:t>
      </w:r>
    </w:p>
    <w:p w:rsidR="00AF1B8E" w:rsidRPr="00D34CE3" w:rsidRDefault="0028008A" w:rsidP="004C6CFF">
      <w:pPr>
        <w:pStyle w:val="PARAGRAPHA"/>
        <w:jc w:val="left"/>
      </w:pPr>
      <w:r w:rsidRPr="001C752D">
        <w:t xml:space="preserve"> </w:t>
      </w:r>
      <w:r w:rsidR="001C242F" w:rsidRPr="001C752D">
        <w:t xml:space="preserve"> </w:t>
      </w:r>
      <w:r w:rsidR="001C752D" w:rsidRPr="001C752D">
        <w:t xml:space="preserve">West Area Planning Committee </w:t>
      </w:r>
      <w:r w:rsidR="00AF1B8E" w:rsidRPr="00D34CE3">
        <w:t>is recommended to</w:t>
      </w:r>
      <w:r w:rsidR="00531262" w:rsidRPr="00D34CE3">
        <w:t>:</w:t>
      </w:r>
      <w:r w:rsidR="00D42A66">
        <w:t xml:space="preserve"> </w:t>
      </w:r>
    </w:p>
    <w:p w:rsidR="00531262" w:rsidRPr="00D42EA4" w:rsidRDefault="00497AEF" w:rsidP="004C6CFF">
      <w:pPr>
        <w:pStyle w:val="PARAGRAPHB"/>
      </w:pPr>
      <w:r w:rsidRPr="00D42EA4">
        <w:rPr>
          <w:b/>
        </w:rPr>
        <w:t>a</w:t>
      </w:r>
      <w:r w:rsidR="00531262" w:rsidRPr="00D42EA4">
        <w:rPr>
          <w:b/>
        </w:rPr>
        <w:t>pprove the application</w:t>
      </w:r>
      <w:r w:rsidR="00531262" w:rsidRPr="00D42EA4">
        <w:t xml:space="preserve"> for the reasons given in the report and subject to the required planning conditions set out in section 12 of this report and grant planning permission</w:t>
      </w:r>
      <w:r w:rsidR="00D42A66" w:rsidRPr="00D42EA4">
        <w:t xml:space="preserve">. </w:t>
      </w:r>
    </w:p>
    <w:p w:rsidR="00531262" w:rsidRPr="00D42EA4" w:rsidRDefault="00EC42BF" w:rsidP="004C6CFF">
      <w:pPr>
        <w:pStyle w:val="PARAGRAPHB"/>
      </w:pPr>
      <w:r w:rsidRPr="00D42EA4">
        <w:rPr>
          <w:b/>
        </w:rPr>
        <w:t>a</w:t>
      </w:r>
      <w:r w:rsidR="00531262" w:rsidRPr="00D42EA4">
        <w:rPr>
          <w:b/>
        </w:rPr>
        <w:t>gree to delegate authority</w:t>
      </w:r>
      <w:r w:rsidR="00531262" w:rsidRPr="00D42EA4">
        <w:t xml:space="preserve"> to the </w:t>
      </w:r>
      <w:r w:rsidR="00886CAE" w:rsidRPr="00D42EA4">
        <w:t xml:space="preserve">Acting Head of Planning </w:t>
      </w:r>
      <w:r w:rsidR="00B917BB" w:rsidRPr="00D42EA4">
        <w:t xml:space="preserve">Services </w:t>
      </w:r>
      <w:r w:rsidRPr="00D42EA4">
        <w:t>to:</w:t>
      </w:r>
    </w:p>
    <w:p w:rsidR="00EC42BF" w:rsidRDefault="00EC42BF" w:rsidP="004C6CFF">
      <w:pPr>
        <w:pStyle w:val="BULLETS"/>
      </w:pPr>
      <w:r w:rsidRPr="00D42EA4">
        <w:t>f</w:t>
      </w:r>
      <w:r w:rsidR="00531262" w:rsidRPr="00D42EA4">
        <w:t xml:space="preserve">inalise the recommended conditions as set out in this report including such refinements, amendments, additions and/or deletions as the </w:t>
      </w:r>
      <w:r w:rsidR="00886CAE" w:rsidRPr="00D42EA4">
        <w:t xml:space="preserve">Acting Head of Planning </w:t>
      </w:r>
      <w:r w:rsidR="00B917BB" w:rsidRPr="00D42EA4">
        <w:t>Services</w:t>
      </w:r>
      <w:r w:rsidR="00531262" w:rsidRPr="00D42EA4">
        <w:t xml:space="preserve"> considers reasonably necessary</w:t>
      </w:r>
      <w:r w:rsidR="00D42EA4" w:rsidRPr="00D42EA4">
        <w:t xml:space="preserve">. </w:t>
      </w:r>
    </w:p>
    <w:p w:rsidR="0023477D" w:rsidRPr="00EC42BF" w:rsidRDefault="0023477D" w:rsidP="004C6CFF">
      <w:pPr>
        <w:pStyle w:val="BULLETS"/>
        <w:numPr>
          <w:ilvl w:val="0"/>
          <w:numId w:val="0"/>
        </w:numPr>
        <w:ind w:left="1069"/>
      </w:pPr>
    </w:p>
    <w:p w:rsidR="00377A39" w:rsidRPr="001951F9" w:rsidRDefault="00377A39" w:rsidP="004C6CFF">
      <w:pPr>
        <w:pStyle w:val="HEADINGA"/>
      </w:pPr>
      <w:r w:rsidRPr="001951F9">
        <w:t>EXECUTIVE SUMMARY</w:t>
      </w:r>
    </w:p>
    <w:p w:rsidR="00D42A66" w:rsidRDefault="00D42A66" w:rsidP="004C6CFF">
      <w:pPr>
        <w:pStyle w:val="PARAGRAPHB"/>
        <w:numPr>
          <w:ilvl w:val="1"/>
          <w:numId w:val="29"/>
        </w:numPr>
        <w:ind w:left="709" w:hanging="709"/>
      </w:pPr>
      <w:r>
        <w:t xml:space="preserve">This report considers an application for planning permission seeking to change the use of No. 13 Dale Close, Oxford from </w:t>
      </w:r>
      <w:r w:rsidR="00521EA2">
        <w:t xml:space="preserve">a </w:t>
      </w:r>
      <w:proofErr w:type="spellStart"/>
      <w:r w:rsidR="00521EA2">
        <w:t>d</w:t>
      </w:r>
      <w:r>
        <w:t>wellinghouse</w:t>
      </w:r>
      <w:proofErr w:type="spellEnd"/>
      <w:r>
        <w:t xml:space="preserve"> (Use Class C3) to a House in Multiple Occupation </w:t>
      </w:r>
      <w:r w:rsidR="0023477D">
        <w:t xml:space="preserve">(HMO) </w:t>
      </w:r>
      <w:r>
        <w:t xml:space="preserve">(Use Class C4).  </w:t>
      </w:r>
      <w:r w:rsidR="0023477D">
        <w:t xml:space="preserve">The report considers the density of HMOs within the vicinity of the site with specific reference to the Council’s adopted planning policy HP7 of the Sites and Housing Plan. The report also considers the quality of accommodation proposed for the HMO, </w:t>
      </w:r>
      <w:r w:rsidR="0023477D">
        <w:lastRenderedPageBreak/>
        <w:t>provision of refuse and recycling storage and the impact of the proposed development on car parking and neighbouring occupiers.</w:t>
      </w:r>
    </w:p>
    <w:p w:rsidR="0023477D" w:rsidRPr="001951F9" w:rsidRDefault="0023477D" w:rsidP="004C6CFF">
      <w:pPr>
        <w:pStyle w:val="PARAGRAPHB"/>
        <w:numPr>
          <w:ilvl w:val="1"/>
          <w:numId w:val="29"/>
        </w:numPr>
        <w:ind w:left="709" w:hanging="709"/>
      </w:pPr>
      <w:r>
        <w:t>It is considered that the proposed change of use would be acceptable having had regard to the relevant policies and the comments made in response to public consultation on this application. Officers recommend that the development would be acceptable in the context of Policy HP7 of the Sites and Housing Plan and Policies CP1 and CP10 of the Oxford Local Plan 2001-2016.</w:t>
      </w:r>
    </w:p>
    <w:p w:rsidR="00377A39" w:rsidRDefault="00377A39" w:rsidP="004C6CFF">
      <w:pPr>
        <w:pStyle w:val="HEADINGA"/>
      </w:pPr>
      <w:r>
        <w:t>LEGAL AGREEMENT</w:t>
      </w:r>
    </w:p>
    <w:p w:rsidR="00377A39" w:rsidRDefault="00377A39" w:rsidP="004C6CFF">
      <w:pPr>
        <w:pStyle w:val="PARAGRAPHA"/>
      </w:pPr>
      <w:r>
        <w:t xml:space="preserve">This application is </w:t>
      </w:r>
      <w:r w:rsidR="00D42A66">
        <w:t xml:space="preserve">not subject to a legal agreement. </w:t>
      </w:r>
    </w:p>
    <w:p w:rsidR="00377A39" w:rsidRDefault="001350CE" w:rsidP="004C6CFF">
      <w:pPr>
        <w:pStyle w:val="HEADINGA"/>
      </w:pPr>
      <w:r>
        <w:t>COMMUNITY INFRASTRUCTURE LEVY (CIL)</w:t>
      </w:r>
    </w:p>
    <w:p w:rsidR="001350CE" w:rsidRDefault="003B278C" w:rsidP="004C6CFF">
      <w:pPr>
        <w:pStyle w:val="PARAGRAPHA"/>
        <w:rPr>
          <w:b/>
        </w:rPr>
      </w:pPr>
      <w:r>
        <w:t>The proposal is</w:t>
      </w:r>
      <w:r w:rsidR="00D42A66">
        <w:t xml:space="preserve"> not </w:t>
      </w:r>
      <w:r>
        <w:t xml:space="preserve">liable for </w:t>
      </w:r>
      <w:r w:rsidR="00D42A66">
        <w:t xml:space="preserve">CIL. </w:t>
      </w:r>
    </w:p>
    <w:p w:rsidR="00D42A66" w:rsidRDefault="008E0CD8" w:rsidP="004C6CFF">
      <w:pPr>
        <w:pStyle w:val="HEADINGA"/>
      </w:pPr>
      <w:r w:rsidRPr="008E0CD8">
        <w:t>SITE AND SURROUNDINGS</w:t>
      </w:r>
    </w:p>
    <w:p w:rsidR="00A44477" w:rsidRDefault="00D42A66" w:rsidP="004C6CFF">
      <w:pPr>
        <w:pStyle w:val="PARAGRAPHA"/>
      </w:pPr>
      <w:r w:rsidRPr="007644A9">
        <w:t>The application site is situated on the southern side of Dale C</w:t>
      </w:r>
      <w:r w:rsidR="0023477D">
        <w:t>lose, a residential cul-de-sac in the ‘St Ebbes New Development’ Area. Despite the central location of the area it has a strongly residential character and includes mostly smaller dwellings with some houses backing onto areas of public open space and the river. The entire development benefits from road access from Thames Street/</w:t>
      </w:r>
      <w:proofErr w:type="spellStart"/>
      <w:r w:rsidR="0023477D">
        <w:t>Oxpens</w:t>
      </w:r>
      <w:proofErr w:type="spellEnd"/>
      <w:r w:rsidR="0023477D">
        <w:t xml:space="preserve"> Road</w:t>
      </w:r>
      <w:r w:rsidR="00791949">
        <w:t xml:space="preserve">. The site measures approximately 0.0114ha with the entrance to the property via a shared forecourt area which is predominantly used for shared car parking between the immediate, neighbouring properties. </w:t>
      </w:r>
      <w:r w:rsidRPr="007644A9">
        <w:t>The character of the area is residential comprising mostly three-storey properties with short gardens.</w:t>
      </w:r>
      <w:r w:rsidR="00791949">
        <w:t xml:space="preserve"> The garden of subject property measures approximately 0.002ha.</w:t>
      </w:r>
      <w:r w:rsidRPr="007644A9">
        <w:t xml:space="preserve">  The property is characteristic of the area.  The site is flat and is level with adjoining land. The property is not located in a Conservation Area. The property is not a Listed Building.</w:t>
      </w:r>
    </w:p>
    <w:p w:rsidR="00853971" w:rsidRDefault="003B278C" w:rsidP="004C6CFF">
      <w:pPr>
        <w:pStyle w:val="PARAGRAPHA"/>
      </w:pPr>
      <w:r w:rsidRPr="003B278C">
        <w:t xml:space="preserve">See </w:t>
      </w:r>
      <w:r>
        <w:t xml:space="preserve">block </w:t>
      </w:r>
      <w:r w:rsidRPr="003B278C">
        <w:t>plan below</w:t>
      </w:r>
      <w:r>
        <w:t>:</w:t>
      </w:r>
    </w:p>
    <w:p w:rsidR="009B6C9C" w:rsidRDefault="009B6C9C" w:rsidP="009B6C9C">
      <w:pPr>
        <w:pStyle w:val="PARAGRAPHA"/>
        <w:numPr>
          <w:ilvl w:val="0"/>
          <w:numId w:val="0"/>
        </w:numPr>
        <w:ind w:left="432"/>
      </w:pPr>
      <w:r>
        <w:rPr>
          <w:noProof/>
          <w:lang w:eastAsia="en-GB"/>
        </w:rPr>
        <w:drawing>
          <wp:inline distT="0" distB="0" distL="0" distR="0" wp14:anchorId="1FA6A618" wp14:editId="573EB6AB">
            <wp:extent cx="3740985"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2896" cy="2561628"/>
                    </a:xfrm>
                    <a:prstGeom prst="rect">
                      <a:avLst/>
                    </a:prstGeom>
                  </pic:spPr>
                </pic:pic>
              </a:graphicData>
            </a:graphic>
          </wp:inline>
        </w:drawing>
      </w:r>
    </w:p>
    <w:p w:rsidR="009B6C9C" w:rsidRDefault="009B6C9C" w:rsidP="009B6C9C">
      <w:pPr>
        <w:pStyle w:val="PARAGRAPHA"/>
        <w:numPr>
          <w:ilvl w:val="0"/>
          <w:numId w:val="0"/>
        </w:numPr>
        <w:ind w:left="432"/>
      </w:pPr>
    </w:p>
    <w:p w:rsidR="008E0CD8" w:rsidRPr="008E0CD8" w:rsidRDefault="008E0CD8" w:rsidP="004C6CFF">
      <w:pPr>
        <w:pStyle w:val="HEADINGA"/>
      </w:pPr>
      <w:r>
        <w:t>PROPOSAL</w:t>
      </w:r>
    </w:p>
    <w:p w:rsidR="008E0CD8" w:rsidRPr="003B278C" w:rsidRDefault="003741B5" w:rsidP="004C6CFF">
      <w:pPr>
        <w:pStyle w:val="PARAGRAPHA"/>
      </w:pPr>
      <w:r>
        <w:t>The application proposes t</w:t>
      </w:r>
      <w:r w:rsidR="00521EA2">
        <w:t>o</w:t>
      </w:r>
      <w:r>
        <w:t xml:space="preserve"> change the use of No. 13 Dale Close, Oxford from Dwellinghouse (Use Class C3) to a House in Multiple Occupation (Use Class C4).  No external changes are proposed. </w:t>
      </w:r>
    </w:p>
    <w:p w:rsidR="008E0CD8" w:rsidRPr="008E0CD8" w:rsidRDefault="008E0CD8" w:rsidP="004C6CFF">
      <w:pPr>
        <w:pStyle w:val="HEADINGA"/>
      </w:pPr>
      <w:r>
        <w:t>RELEVANT PLANNING HISTORY</w:t>
      </w:r>
    </w:p>
    <w:p w:rsidR="008E0CD8" w:rsidRPr="003B278C" w:rsidRDefault="008E0CD8" w:rsidP="004C6CFF">
      <w:pPr>
        <w:pStyle w:val="PARAGRAPHA"/>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4C6CFF">
            <w:pPr>
              <w:pStyle w:val="CAPS"/>
              <w:rPr>
                <w:rFonts w:ascii="Arial" w:hAnsi="Arial" w:cs="Arial"/>
                <w:sz w:val="24"/>
                <w:szCs w:val="24"/>
              </w:rPr>
            </w:pPr>
          </w:p>
          <w:p w:rsidR="006F23C6" w:rsidRDefault="006F23C6" w:rsidP="004C6CFF">
            <w:pPr>
              <w:pStyle w:val="CAPS"/>
              <w:rPr>
                <w:rFonts w:ascii="Arial" w:hAnsi="Arial" w:cs="Arial"/>
                <w:sz w:val="24"/>
                <w:szCs w:val="24"/>
              </w:rPr>
            </w:pPr>
            <w:r>
              <w:rPr>
                <w:rFonts w:ascii="Arial" w:hAnsi="Arial" w:cs="Arial"/>
                <w:sz w:val="24"/>
                <w:szCs w:val="24"/>
              </w:rPr>
              <w:t>77/00613/GO - Erection of 141 dwelling houses 29 flats and shop.   Laying out of roads and recreation areas and alteration and construction of river bridges. PER 27th October 1977.</w:t>
            </w:r>
          </w:p>
          <w:p w:rsidR="006F23C6" w:rsidRPr="002F4C38" w:rsidRDefault="006F23C6" w:rsidP="004C6CFF">
            <w:pPr>
              <w:pStyle w:val="CAPS"/>
              <w:rPr>
                <w:rFonts w:ascii="Arial" w:hAnsi="Arial" w:cs="Arial"/>
                <w:sz w:val="24"/>
                <w:szCs w:val="24"/>
                <w:lang w:val="fr-FR"/>
              </w:rPr>
            </w:pPr>
          </w:p>
          <w:p w:rsidR="006F23C6" w:rsidRPr="002F4C38" w:rsidRDefault="006F23C6" w:rsidP="004C6CFF">
            <w:pPr>
              <w:pStyle w:val="CAPS"/>
              <w:rPr>
                <w:rFonts w:ascii="Arial" w:hAnsi="Arial" w:cs="Arial"/>
                <w:sz w:val="24"/>
                <w:szCs w:val="24"/>
                <w:lang w:val="fr-FR"/>
              </w:rPr>
            </w:pPr>
            <w:r w:rsidRPr="002F4C38">
              <w:rPr>
                <w:rFonts w:ascii="Arial" w:hAnsi="Arial" w:cs="Arial"/>
                <w:sz w:val="24"/>
                <w:szCs w:val="24"/>
                <w:lang w:val="fr-FR"/>
              </w:rPr>
              <w:t>79/00900/A_H - Land adjoining Dale Close and Trinity Street  - Erection of 102 houses, 17 flats, 1 shop, 14 garages associated roads and site works (deemed permission given 24/10/77). PER 7th November 1979.</w:t>
            </w:r>
          </w:p>
          <w:p w:rsidR="006F23C6" w:rsidRPr="002F4C38" w:rsidRDefault="006F23C6" w:rsidP="004C6CFF">
            <w:pPr>
              <w:pStyle w:val="CAPS"/>
              <w:rPr>
                <w:rFonts w:ascii="Arial" w:hAnsi="Arial" w:cs="Arial"/>
                <w:sz w:val="24"/>
                <w:szCs w:val="24"/>
                <w:lang w:val="fr-FR"/>
              </w:rPr>
            </w:pPr>
          </w:p>
          <w:p w:rsidR="006F23C6" w:rsidRPr="002F4C38" w:rsidRDefault="006F23C6" w:rsidP="004C6CFF">
            <w:pPr>
              <w:pStyle w:val="CAPS"/>
              <w:rPr>
                <w:rFonts w:ascii="Arial" w:hAnsi="Arial" w:cs="Arial"/>
                <w:sz w:val="24"/>
                <w:szCs w:val="24"/>
                <w:lang w:val="fr-FR"/>
              </w:rPr>
            </w:pPr>
            <w:r w:rsidRPr="002F4C38">
              <w:rPr>
                <w:rFonts w:ascii="Arial" w:hAnsi="Arial" w:cs="Arial"/>
                <w:sz w:val="24"/>
                <w:szCs w:val="24"/>
                <w:lang w:val="fr-FR"/>
              </w:rPr>
              <w:t>77/00613/GR - Erection of 141 houses, 29 flats and shop.  Laying out of roads and recreation areas, and alterations and construction of river bridges (Reserved Matters fencing condition no. 8, landscaping (Public Part) condition no.15)). PER 20th October 1978.</w:t>
            </w:r>
          </w:p>
          <w:p w:rsidR="006F23C6" w:rsidRPr="002F4C38" w:rsidRDefault="006F23C6" w:rsidP="004C6CFF">
            <w:pPr>
              <w:pStyle w:val="CAPS"/>
              <w:rPr>
                <w:rFonts w:ascii="Arial" w:hAnsi="Arial" w:cs="Arial"/>
                <w:sz w:val="24"/>
                <w:szCs w:val="24"/>
                <w:lang w:val="fr-FR"/>
              </w:rPr>
            </w:pPr>
          </w:p>
          <w:p w:rsidR="006F23C6" w:rsidRPr="005323A5" w:rsidRDefault="006F23C6" w:rsidP="004C6CFF">
            <w:pPr>
              <w:pStyle w:val="CAPS"/>
              <w:rPr>
                <w:rFonts w:ascii="Arial" w:hAnsi="Arial" w:cs="Arial"/>
                <w:sz w:val="24"/>
                <w:szCs w:val="24"/>
                <w:lang w:val="fr-FR"/>
              </w:rPr>
            </w:pPr>
            <w:r w:rsidRPr="002F4C38">
              <w:rPr>
                <w:rFonts w:ascii="Arial" w:hAnsi="Arial" w:cs="Arial"/>
                <w:sz w:val="24"/>
                <w:szCs w:val="24"/>
                <w:lang w:val="fr-FR"/>
              </w:rPr>
              <w:t>18/02540/FUL - Change of use of dwellinghouse (Use Class C3) to a House in Multiple Occupation (Use Class C4)</w:t>
            </w:r>
            <w:proofErr w:type="gramStart"/>
            <w:r w:rsidRPr="002F4C38">
              <w:rPr>
                <w:rFonts w:ascii="Arial" w:hAnsi="Arial" w:cs="Arial"/>
                <w:sz w:val="24"/>
                <w:szCs w:val="24"/>
                <w:lang w:val="fr-FR"/>
              </w:rPr>
              <w:t>..</w:t>
            </w:r>
            <w:proofErr w:type="gramEnd"/>
            <w:r w:rsidRPr="002F4C38">
              <w:rPr>
                <w:rFonts w:ascii="Arial" w:hAnsi="Arial" w:cs="Arial"/>
                <w:sz w:val="24"/>
                <w:szCs w:val="24"/>
                <w:lang w:val="fr-FR"/>
              </w:rPr>
              <w:t xml:space="preserve"> PDE .</w:t>
            </w:r>
          </w:p>
        </w:tc>
      </w:tr>
    </w:tbl>
    <w:p w:rsidR="008E0CD8" w:rsidRPr="003B278C" w:rsidRDefault="008E0CD8" w:rsidP="004C6CFF"/>
    <w:p w:rsidR="000336A6" w:rsidRDefault="00F911C9" w:rsidP="004C6CFF">
      <w:pPr>
        <w:pStyle w:val="HEADINGA"/>
      </w:pPr>
      <w:r>
        <w:t>RELEVANT PLANNING POLICY</w:t>
      </w:r>
    </w:p>
    <w:p w:rsidR="00F911C9" w:rsidRPr="00F911C9" w:rsidRDefault="00F911C9" w:rsidP="004C6CFF">
      <w:pPr>
        <w:pStyle w:val="PARAGRAPHA"/>
        <w:rPr>
          <w:b/>
        </w:rPr>
      </w:pPr>
      <w:r>
        <w:t>The following policies are relevant to the application:</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59"/>
        <w:gridCol w:w="1559"/>
        <w:gridCol w:w="1560"/>
        <w:gridCol w:w="1559"/>
        <w:gridCol w:w="1560"/>
      </w:tblGrid>
      <w:tr w:rsidR="00472776" w:rsidRPr="003B278C" w:rsidTr="00880933">
        <w:trPr>
          <w:trHeight w:val="573"/>
        </w:trPr>
        <w:tc>
          <w:tcPr>
            <w:tcW w:w="1809" w:type="dxa"/>
            <w:tcBorders>
              <w:bottom w:val="single" w:sz="18" w:space="0" w:color="4F81BD"/>
            </w:tcBorders>
            <w:shd w:val="clear" w:color="auto" w:fill="548DD4"/>
          </w:tcPr>
          <w:p w:rsidR="007A149B" w:rsidRPr="003B278C" w:rsidRDefault="007A149B" w:rsidP="004C6CFF">
            <w:pPr>
              <w:rPr>
                <w:b/>
                <w:color w:val="FFFFFF"/>
                <w:sz w:val="22"/>
                <w:szCs w:val="22"/>
              </w:rPr>
            </w:pPr>
            <w:r w:rsidRPr="003B278C">
              <w:rPr>
                <w:b/>
                <w:color w:val="FFFFFF"/>
                <w:sz w:val="22"/>
                <w:szCs w:val="22"/>
              </w:rPr>
              <w:t>Topic</w:t>
            </w:r>
          </w:p>
        </w:tc>
        <w:tc>
          <w:tcPr>
            <w:tcW w:w="1559" w:type="dxa"/>
            <w:tcBorders>
              <w:bottom w:val="single" w:sz="18" w:space="0" w:color="4F81BD"/>
            </w:tcBorders>
            <w:shd w:val="clear" w:color="auto" w:fill="548DD4"/>
            <w:hideMark/>
          </w:tcPr>
          <w:p w:rsidR="007A149B" w:rsidRPr="004A66C4" w:rsidRDefault="007A149B" w:rsidP="004C6CFF">
            <w:pPr>
              <w:rPr>
                <w:b/>
                <w:bCs/>
                <w:color w:val="FFFFFF"/>
                <w:sz w:val="22"/>
                <w:szCs w:val="22"/>
              </w:rPr>
            </w:pPr>
            <w:r w:rsidRPr="004A66C4">
              <w:rPr>
                <w:b/>
                <w:color w:val="FFFFFF"/>
                <w:sz w:val="22"/>
                <w:szCs w:val="22"/>
              </w:rPr>
              <w:t xml:space="preserve">National </w:t>
            </w:r>
            <w:r w:rsidR="003B278C" w:rsidRPr="004A66C4">
              <w:rPr>
                <w:b/>
                <w:color w:val="FFFFFF"/>
                <w:sz w:val="22"/>
                <w:szCs w:val="22"/>
              </w:rPr>
              <w:t>Planning Policy Framework</w:t>
            </w:r>
          </w:p>
        </w:tc>
        <w:tc>
          <w:tcPr>
            <w:tcW w:w="1559" w:type="dxa"/>
            <w:tcBorders>
              <w:bottom w:val="single" w:sz="18" w:space="0" w:color="4F81BD"/>
            </w:tcBorders>
            <w:shd w:val="clear" w:color="auto" w:fill="548DD4"/>
            <w:hideMark/>
          </w:tcPr>
          <w:p w:rsidR="007A149B" w:rsidRPr="003B278C" w:rsidRDefault="007A149B" w:rsidP="004C6CFF">
            <w:pPr>
              <w:rPr>
                <w:b/>
                <w:bCs/>
                <w:color w:val="FFFFFF"/>
                <w:sz w:val="22"/>
                <w:szCs w:val="22"/>
              </w:rPr>
            </w:pPr>
            <w:r w:rsidRPr="003B278C">
              <w:rPr>
                <w:b/>
                <w:color w:val="FFFFFF"/>
                <w:sz w:val="22"/>
                <w:szCs w:val="22"/>
              </w:rPr>
              <w:t>Local Plan</w:t>
            </w:r>
          </w:p>
        </w:tc>
        <w:tc>
          <w:tcPr>
            <w:tcW w:w="1560" w:type="dxa"/>
            <w:tcBorders>
              <w:bottom w:val="single" w:sz="18" w:space="0" w:color="4F81BD"/>
            </w:tcBorders>
            <w:shd w:val="clear" w:color="auto" w:fill="548DD4"/>
          </w:tcPr>
          <w:p w:rsidR="007A149B" w:rsidRPr="003B278C" w:rsidRDefault="007A149B" w:rsidP="004C6CFF">
            <w:pPr>
              <w:rPr>
                <w:b/>
                <w:color w:val="FFFFFF"/>
                <w:sz w:val="22"/>
                <w:szCs w:val="22"/>
              </w:rPr>
            </w:pPr>
            <w:r w:rsidRPr="003B278C">
              <w:rPr>
                <w:b/>
                <w:color w:val="FFFFFF"/>
                <w:sz w:val="22"/>
                <w:szCs w:val="22"/>
              </w:rPr>
              <w:t>Core Strategy</w:t>
            </w:r>
          </w:p>
        </w:tc>
        <w:tc>
          <w:tcPr>
            <w:tcW w:w="1559" w:type="dxa"/>
            <w:tcBorders>
              <w:bottom w:val="single" w:sz="18" w:space="0" w:color="4F81BD"/>
            </w:tcBorders>
            <w:shd w:val="clear" w:color="auto" w:fill="548DD4"/>
          </w:tcPr>
          <w:p w:rsidR="007A149B" w:rsidRPr="003B278C" w:rsidRDefault="007A149B" w:rsidP="004C6CFF">
            <w:pPr>
              <w:rPr>
                <w:b/>
                <w:color w:val="FFFFFF"/>
                <w:sz w:val="22"/>
                <w:szCs w:val="22"/>
              </w:rPr>
            </w:pPr>
            <w:r w:rsidRPr="003B278C">
              <w:rPr>
                <w:b/>
                <w:color w:val="FFFFFF"/>
                <w:sz w:val="22"/>
                <w:szCs w:val="22"/>
              </w:rPr>
              <w:t>Sites and Housing Plan</w:t>
            </w:r>
          </w:p>
        </w:tc>
        <w:tc>
          <w:tcPr>
            <w:tcW w:w="1560" w:type="dxa"/>
            <w:tcBorders>
              <w:bottom w:val="single" w:sz="18" w:space="0" w:color="4F81BD"/>
            </w:tcBorders>
            <w:shd w:val="clear" w:color="auto" w:fill="548DD4"/>
          </w:tcPr>
          <w:p w:rsidR="007A149B" w:rsidRPr="003B278C" w:rsidRDefault="003B278C" w:rsidP="004C6CFF">
            <w:pPr>
              <w:rPr>
                <w:b/>
                <w:color w:val="FFFFFF"/>
                <w:sz w:val="22"/>
                <w:szCs w:val="22"/>
              </w:rPr>
            </w:pPr>
            <w:r>
              <w:rPr>
                <w:b/>
                <w:color w:val="FFFFFF"/>
                <w:sz w:val="22"/>
                <w:szCs w:val="22"/>
              </w:rPr>
              <w:t>Other planning d</w:t>
            </w:r>
            <w:r w:rsidR="007A149B" w:rsidRPr="003B278C">
              <w:rPr>
                <w:b/>
                <w:color w:val="FFFFFF"/>
                <w:sz w:val="22"/>
                <w:szCs w:val="22"/>
              </w:rPr>
              <w:t>ocuments</w:t>
            </w:r>
          </w:p>
        </w:tc>
      </w:tr>
      <w:tr w:rsidR="00472776" w:rsidRPr="003A7C49" w:rsidTr="00880933">
        <w:trPr>
          <w:trHeight w:val="900"/>
        </w:trPr>
        <w:tc>
          <w:tcPr>
            <w:tcW w:w="1809" w:type="dxa"/>
            <w:shd w:val="clear" w:color="auto" w:fill="548DD4"/>
          </w:tcPr>
          <w:p w:rsidR="007A149B" w:rsidRPr="003B278C" w:rsidRDefault="00D60A98" w:rsidP="004C6CFF">
            <w:pPr>
              <w:rPr>
                <w:b/>
                <w:color w:val="FFFFFF"/>
                <w:sz w:val="22"/>
                <w:szCs w:val="22"/>
              </w:rPr>
            </w:pPr>
            <w:r w:rsidRPr="003B278C">
              <w:rPr>
                <w:b/>
                <w:color w:val="FFFFFF"/>
                <w:sz w:val="22"/>
                <w:szCs w:val="22"/>
              </w:rPr>
              <w:t>Design</w:t>
            </w:r>
          </w:p>
        </w:tc>
        <w:tc>
          <w:tcPr>
            <w:tcW w:w="1559" w:type="dxa"/>
          </w:tcPr>
          <w:p w:rsidR="007A149B" w:rsidRPr="004A66C4" w:rsidRDefault="007A149B" w:rsidP="004C6CFF">
            <w:pPr>
              <w:jc w:val="both"/>
              <w:rPr>
                <w:bCs/>
                <w:sz w:val="22"/>
                <w:szCs w:val="22"/>
              </w:rPr>
            </w:pPr>
          </w:p>
          <w:p w:rsidR="0011585C" w:rsidRPr="004A66C4" w:rsidRDefault="00D42EA4" w:rsidP="004C6CFF">
            <w:pPr>
              <w:jc w:val="both"/>
              <w:rPr>
                <w:bCs/>
                <w:sz w:val="22"/>
                <w:szCs w:val="22"/>
              </w:rPr>
            </w:pPr>
            <w:r w:rsidRPr="004A66C4">
              <w:rPr>
                <w:bCs/>
                <w:sz w:val="22"/>
                <w:szCs w:val="22"/>
              </w:rPr>
              <w:t>s.12</w:t>
            </w:r>
          </w:p>
        </w:tc>
        <w:tc>
          <w:tcPr>
            <w:tcW w:w="1559" w:type="dxa"/>
          </w:tcPr>
          <w:p w:rsidR="007A149B" w:rsidRDefault="003741B5" w:rsidP="004C6CFF">
            <w:pPr>
              <w:jc w:val="both"/>
              <w:rPr>
                <w:bCs/>
                <w:iCs/>
                <w:sz w:val="22"/>
                <w:szCs w:val="22"/>
              </w:rPr>
            </w:pPr>
            <w:r>
              <w:rPr>
                <w:bCs/>
                <w:iCs/>
                <w:sz w:val="22"/>
                <w:szCs w:val="22"/>
              </w:rPr>
              <w:t>CP1</w:t>
            </w:r>
          </w:p>
          <w:p w:rsidR="003741B5" w:rsidRDefault="003741B5" w:rsidP="004C6CFF">
            <w:pPr>
              <w:jc w:val="both"/>
              <w:rPr>
                <w:bCs/>
                <w:iCs/>
                <w:sz w:val="22"/>
                <w:szCs w:val="22"/>
              </w:rPr>
            </w:pPr>
            <w:r>
              <w:rPr>
                <w:bCs/>
                <w:iCs/>
                <w:sz w:val="22"/>
                <w:szCs w:val="22"/>
              </w:rPr>
              <w:t>CP6</w:t>
            </w:r>
          </w:p>
          <w:p w:rsidR="003741B5" w:rsidRPr="003A7C49" w:rsidRDefault="003741B5" w:rsidP="004C6CFF">
            <w:pPr>
              <w:jc w:val="both"/>
              <w:rPr>
                <w:bCs/>
                <w:iCs/>
                <w:sz w:val="22"/>
                <w:szCs w:val="22"/>
              </w:rPr>
            </w:pPr>
            <w:r>
              <w:rPr>
                <w:bCs/>
                <w:iCs/>
                <w:sz w:val="22"/>
                <w:szCs w:val="22"/>
              </w:rPr>
              <w:t xml:space="preserve">CP10 </w:t>
            </w:r>
          </w:p>
        </w:tc>
        <w:tc>
          <w:tcPr>
            <w:tcW w:w="1560" w:type="dxa"/>
          </w:tcPr>
          <w:p w:rsidR="007A149B" w:rsidRPr="003A7C49" w:rsidRDefault="003741B5" w:rsidP="004C6CFF">
            <w:pPr>
              <w:jc w:val="both"/>
              <w:rPr>
                <w:bCs/>
                <w:iCs/>
                <w:sz w:val="22"/>
                <w:szCs w:val="22"/>
              </w:rPr>
            </w:pPr>
            <w:r>
              <w:rPr>
                <w:bCs/>
                <w:iCs/>
                <w:sz w:val="22"/>
                <w:szCs w:val="22"/>
              </w:rPr>
              <w:t>CS18</w:t>
            </w:r>
          </w:p>
        </w:tc>
        <w:tc>
          <w:tcPr>
            <w:tcW w:w="1559" w:type="dxa"/>
          </w:tcPr>
          <w:p w:rsidR="007A149B" w:rsidRPr="003A7C49" w:rsidRDefault="007A149B" w:rsidP="004C6CFF">
            <w:pPr>
              <w:jc w:val="both"/>
              <w:rPr>
                <w:bCs/>
                <w:iCs/>
                <w:sz w:val="22"/>
                <w:szCs w:val="22"/>
              </w:rPr>
            </w:pPr>
          </w:p>
        </w:tc>
        <w:tc>
          <w:tcPr>
            <w:tcW w:w="1560" w:type="dxa"/>
          </w:tcPr>
          <w:p w:rsidR="007A149B" w:rsidRPr="003A7C49" w:rsidRDefault="007A149B" w:rsidP="004C6CFF">
            <w:pPr>
              <w:jc w:val="both"/>
              <w:rPr>
                <w:bCs/>
                <w:iCs/>
                <w:sz w:val="22"/>
                <w:szCs w:val="22"/>
              </w:rPr>
            </w:pPr>
          </w:p>
        </w:tc>
      </w:tr>
      <w:tr w:rsidR="00472776" w:rsidRPr="003A7C49" w:rsidTr="00880933">
        <w:trPr>
          <w:trHeight w:val="1200"/>
        </w:trPr>
        <w:tc>
          <w:tcPr>
            <w:tcW w:w="1809" w:type="dxa"/>
            <w:shd w:val="clear" w:color="auto" w:fill="548DD4"/>
          </w:tcPr>
          <w:p w:rsidR="007A149B" w:rsidRPr="003B278C" w:rsidRDefault="00B535F4" w:rsidP="004C6CFF">
            <w:pPr>
              <w:rPr>
                <w:b/>
                <w:color w:val="FFFFFF"/>
                <w:sz w:val="22"/>
                <w:szCs w:val="22"/>
              </w:rPr>
            </w:pPr>
            <w:r w:rsidRPr="003B278C">
              <w:rPr>
                <w:b/>
                <w:color w:val="FFFFFF"/>
                <w:sz w:val="22"/>
                <w:szCs w:val="22"/>
              </w:rPr>
              <w:t>Housing</w:t>
            </w:r>
          </w:p>
        </w:tc>
        <w:tc>
          <w:tcPr>
            <w:tcW w:w="1559" w:type="dxa"/>
            <w:shd w:val="clear" w:color="auto" w:fill="D3DFEE"/>
          </w:tcPr>
          <w:p w:rsidR="007A149B" w:rsidRPr="004A66C4" w:rsidRDefault="00D42EA4" w:rsidP="004C6CFF">
            <w:pPr>
              <w:jc w:val="both"/>
              <w:rPr>
                <w:bCs/>
                <w:sz w:val="22"/>
                <w:szCs w:val="22"/>
              </w:rPr>
            </w:pPr>
            <w:r w:rsidRPr="004A66C4">
              <w:rPr>
                <w:bCs/>
                <w:sz w:val="22"/>
                <w:szCs w:val="22"/>
              </w:rPr>
              <w:t>s.5</w:t>
            </w:r>
          </w:p>
        </w:tc>
        <w:tc>
          <w:tcPr>
            <w:tcW w:w="1559" w:type="dxa"/>
            <w:shd w:val="clear" w:color="auto" w:fill="D3DFEE"/>
          </w:tcPr>
          <w:p w:rsidR="007A149B" w:rsidRPr="003A7C49" w:rsidRDefault="007A149B" w:rsidP="004C6CFF">
            <w:pPr>
              <w:jc w:val="both"/>
              <w:rPr>
                <w:bCs/>
                <w:iCs/>
                <w:sz w:val="22"/>
                <w:szCs w:val="22"/>
              </w:rPr>
            </w:pPr>
          </w:p>
        </w:tc>
        <w:tc>
          <w:tcPr>
            <w:tcW w:w="1560" w:type="dxa"/>
            <w:shd w:val="clear" w:color="auto" w:fill="D3DFEE"/>
          </w:tcPr>
          <w:p w:rsidR="007A149B" w:rsidRPr="003A7C49" w:rsidRDefault="007A149B" w:rsidP="004C6CFF">
            <w:pPr>
              <w:jc w:val="both"/>
              <w:rPr>
                <w:bCs/>
                <w:iCs/>
                <w:sz w:val="22"/>
                <w:szCs w:val="22"/>
              </w:rPr>
            </w:pPr>
          </w:p>
        </w:tc>
        <w:tc>
          <w:tcPr>
            <w:tcW w:w="1559" w:type="dxa"/>
            <w:shd w:val="clear" w:color="auto" w:fill="D3DFEE"/>
          </w:tcPr>
          <w:p w:rsidR="007A149B" w:rsidRDefault="003741B5" w:rsidP="004C6CFF">
            <w:pPr>
              <w:jc w:val="both"/>
              <w:rPr>
                <w:bCs/>
                <w:iCs/>
                <w:sz w:val="22"/>
                <w:szCs w:val="22"/>
              </w:rPr>
            </w:pPr>
            <w:r>
              <w:rPr>
                <w:bCs/>
                <w:iCs/>
                <w:sz w:val="22"/>
                <w:szCs w:val="22"/>
              </w:rPr>
              <w:t>HP7</w:t>
            </w:r>
          </w:p>
          <w:p w:rsidR="003741B5" w:rsidRPr="003A7C49" w:rsidRDefault="003741B5" w:rsidP="004C6CFF">
            <w:pPr>
              <w:jc w:val="both"/>
              <w:rPr>
                <w:bCs/>
                <w:iCs/>
                <w:sz w:val="22"/>
                <w:szCs w:val="22"/>
              </w:rPr>
            </w:pPr>
            <w:r>
              <w:rPr>
                <w:bCs/>
                <w:iCs/>
                <w:sz w:val="22"/>
                <w:szCs w:val="22"/>
              </w:rPr>
              <w:t>HP13</w:t>
            </w:r>
          </w:p>
        </w:tc>
        <w:tc>
          <w:tcPr>
            <w:tcW w:w="1560" w:type="dxa"/>
            <w:shd w:val="clear" w:color="auto" w:fill="D3DFEE"/>
          </w:tcPr>
          <w:p w:rsidR="007A149B" w:rsidRPr="003A7C49" w:rsidRDefault="007A149B" w:rsidP="004C6CFF">
            <w:pPr>
              <w:jc w:val="both"/>
              <w:rPr>
                <w:bCs/>
                <w:iCs/>
                <w:sz w:val="22"/>
                <w:szCs w:val="22"/>
              </w:rPr>
            </w:pPr>
          </w:p>
        </w:tc>
      </w:tr>
      <w:tr w:rsidR="00472776" w:rsidRPr="003A7C49" w:rsidTr="00880933">
        <w:trPr>
          <w:trHeight w:val="300"/>
        </w:trPr>
        <w:tc>
          <w:tcPr>
            <w:tcW w:w="1809" w:type="dxa"/>
            <w:shd w:val="clear" w:color="auto" w:fill="548DD4"/>
          </w:tcPr>
          <w:p w:rsidR="007A149B" w:rsidRPr="003B278C" w:rsidRDefault="007A149B" w:rsidP="004C6CFF">
            <w:pPr>
              <w:rPr>
                <w:b/>
                <w:color w:val="FFFFFF"/>
                <w:sz w:val="22"/>
                <w:szCs w:val="22"/>
              </w:rPr>
            </w:pPr>
            <w:r w:rsidRPr="003B278C">
              <w:rPr>
                <w:b/>
                <w:color w:val="FFFFFF"/>
                <w:sz w:val="22"/>
                <w:szCs w:val="22"/>
              </w:rPr>
              <w:t>Transport</w:t>
            </w:r>
          </w:p>
        </w:tc>
        <w:tc>
          <w:tcPr>
            <w:tcW w:w="1559" w:type="dxa"/>
            <w:shd w:val="clear" w:color="auto" w:fill="D3DFEE"/>
          </w:tcPr>
          <w:p w:rsidR="007A149B" w:rsidRPr="004A66C4" w:rsidRDefault="00D42EA4" w:rsidP="004C6CFF">
            <w:pPr>
              <w:jc w:val="both"/>
              <w:rPr>
                <w:bCs/>
                <w:sz w:val="22"/>
                <w:szCs w:val="22"/>
              </w:rPr>
            </w:pPr>
            <w:r w:rsidRPr="004A66C4">
              <w:rPr>
                <w:bCs/>
                <w:sz w:val="22"/>
                <w:szCs w:val="22"/>
              </w:rPr>
              <w:t>s.9</w:t>
            </w:r>
          </w:p>
        </w:tc>
        <w:tc>
          <w:tcPr>
            <w:tcW w:w="1559" w:type="dxa"/>
            <w:shd w:val="clear" w:color="auto" w:fill="D3DFEE"/>
          </w:tcPr>
          <w:p w:rsidR="007A149B" w:rsidRPr="003A7C49" w:rsidRDefault="007A149B" w:rsidP="004C6CFF">
            <w:pPr>
              <w:jc w:val="both"/>
              <w:rPr>
                <w:bCs/>
                <w:iCs/>
                <w:sz w:val="22"/>
                <w:szCs w:val="22"/>
              </w:rPr>
            </w:pPr>
          </w:p>
        </w:tc>
        <w:tc>
          <w:tcPr>
            <w:tcW w:w="1560" w:type="dxa"/>
            <w:shd w:val="clear" w:color="auto" w:fill="D3DFEE"/>
          </w:tcPr>
          <w:p w:rsidR="007A149B" w:rsidRPr="003A7C49" w:rsidRDefault="007A149B" w:rsidP="004C6CFF">
            <w:pPr>
              <w:jc w:val="both"/>
              <w:rPr>
                <w:bCs/>
                <w:iCs/>
                <w:sz w:val="22"/>
                <w:szCs w:val="22"/>
              </w:rPr>
            </w:pPr>
          </w:p>
        </w:tc>
        <w:tc>
          <w:tcPr>
            <w:tcW w:w="1559" w:type="dxa"/>
            <w:shd w:val="clear" w:color="auto" w:fill="D3DFEE"/>
          </w:tcPr>
          <w:p w:rsidR="007A149B" w:rsidRDefault="003741B5" w:rsidP="004C6CFF">
            <w:pPr>
              <w:jc w:val="both"/>
              <w:rPr>
                <w:bCs/>
                <w:iCs/>
                <w:sz w:val="22"/>
                <w:szCs w:val="22"/>
              </w:rPr>
            </w:pPr>
            <w:r>
              <w:rPr>
                <w:bCs/>
                <w:iCs/>
                <w:sz w:val="22"/>
                <w:szCs w:val="22"/>
              </w:rPr>
              <w:t xml:space="preserve">HP15 </w:t>
            </w:r>
          </w:p>
          <w:p w:rsidR="003741B5" w:rsidRPr="003A7C49" w:rsidRDefault="003741B5" w:rsidP="004C6CFF">
            <w:pPr>
              <w:jc w:val="both"/>
              <w:rPr>
                <w:bCs/>
                <w:iCs/>
                <w:sz w:val="22"/>
                <w:szCs w:val="22"/>
              </w:rPr>
            </w:pPr>
            <w:r>
              <w:rPr>
                <w:bCs/>
                <w:iCs/>
                <w:sz w:val="22"/>
                <w:szCs w:val="22"/>
              </w:rPr>
              <w:t xml:space="preserve">HP16 </w:t>
            </w:r>
          </w:p>
        </w:tc>
        <w:tc>
          <w:tcPr>
            <w:tcW w:w="1560" w:type="dxa"/>
            <w:shd w:val="clear" w:color="auto" w:fill="D3DFEE"/>
          </w:tcPr>
          <w:p w:rsidR="007A149B" w:rsidRPr="003A7C49" w:rsidRDefault="00FB7719" w:rsidP="004C6CFF">
            <w:pPr>
              <w:jc w:val="both"/>
              <w:rPr>
                <w:bCs/>
                <w:iCs/>
                <w:sz w:val="22"/>
                <w:szCs w:val="22"/>
              </w:rPr>
            </w:pPr>
            <w:r w:rsidRPr="003A7C49">
              <w:rPr>
                <w:bCs/>
                <w:iCs/>
                <w:sz w:val="22"/>
                <w:szCs w:val="22"/>
              </w:rPr>
              <w:t>Parking Standards SPD</w:t>
            </w:r>
          </w:p>
        </w:tc>
      </w:tr>
      <w:tr w:rsidR="00472776" w:rsidRPr="003A7C49" w:rsidTr="00880933">
        <w:trPr>
          <w:trHeight w:val="600"/>
        </w:trPr>
        <w:tc>
          <w:tcPr>
            <w:tcW w:w="1809" w:type="dxa"/>
            <w:shd w:val="clear" w:color="auto" w:fill="548DD4"/>
          </w:tcPr>
          <w:p w:rsidR="007A149B" w:rsidRPr="003B278C" w:rsidRDefault="00FB7719" w:rsidP="004C6CFF">
            <w:pPr>
              <w:rPr>
                <w:b/>
                <w:color w:val="FFFFFF"/>
                <w:sz w:val="22"/>
                <w:szCs w:val="22"/>
              </w:rPr>
            </w:pPr>
            <w:r w:rsidRPr="003B278C">
              <w:rPr>
                <w:b/>
                <w:color w:val="FFFFFF"/>
                <w:sz w:val="22"/>
                <w:szCs w:val="22"/>
              </w:rPr>
              <w:t>Misc</w:t>
            </w:r>
            <w:r w:rsidR="003B278C">
              <w:rPr>
                <w:b/>
                <w:color w:val="FFFFFF"/>
                <w:sz w:val="22"/>
                <w:szCs w:val="22"/>
              </w:rPr>
              <w:t>ellaneous</w:t>
            </w:r>
          </w:p>
        </w:tc>
        <w:tc>
          <w:tcPr>
            <w:tcW w:w="1559" w:type="dxa"/>
            <w:shd w:val="clear" w:color="auto" w:fill="D3DFEE"/>
          </w:tcPr>
          <w:p w:rsidR="007A149B" w:rsidRPr="004A66C4" w:rsidRDefault="00D42EA4" w:rsidP="004C6CFF">
            <w:pPr>
              <w:jc w:val="both"/>
              <w:rPr>
                <w:bCs/>
                <w:sz w:val="22"/>
                <w:szCs w:val="22"/>
              </w:rPr>
            </w:pPr>
            <w:r w:rsidRPr="004A66C4">
              <w:rPr>
                <w:bCs/>
                <w:sz w:val="22"/>
                <w:szCs w:val="22"/>
              </w:rPr>
              <w:t>s.2</w:t>
            </w:r>
          </w:p>
        </w:tc>
        <w:tc>
          <w:tcPr>
            <w:tcW w:w="1559" w:type="dxa"/>
            <w:shd w:val="clear" w:color="auto" w:fill="D3DFEE"/>
          </w:tcPr>
          <w:p w:rsidR="003741B5" w:rsidRPr="003A7C49" w:rsidRDefault="004126E8" w:rsidP="004C6CFF">
            <w:pPr>
              <w:jc w:val="both"/>
              <w:rPr>
                <w:bCs/>
                <w:iCs/>
                <w:sz w:val="22"/>
                <w:szCs w:val="22"/>
              </w:rPr>
            </w:pPr>
            <w:r>
              <w:rPr>
                <w:bCs/>
                <w:iCs/>
                <w:sz w:val="22"/>
                <w:szCs w:val="22"/>
              </w:rPr>
              <w:t xml:space="preserve"> </w:t>
            </w:r>
          </w:p>
          <w:p w:rsidR="007A149B" w:rsidRPr="003A7C49" w:rsidRDefault="007A149B" w:rsidP="004C6CFF">
            <w:pPr>
              <w:jc w:val="both"/>
              <w:rPr>
                <w:bCs/>
                <w:iCs/>
                <w:sz w:val="22"/>
                <w:szCs w:val="22"/>
              </w:rPr>
            </w:pPr>
          </w:p>
        </w:tc>
        <w:tc>
          <w:tcPr>
            <w:tcW w:w="1560" w:type="dxa"/>
            <w:shd w:val="clear" w:color="auto" w:fill="D3DFEE"/>
          </w:tcPr>
          <w:p w:rsidR="007A149B" w:rsidRPr="003A7C49" w:rsidRDefault="007A149B" w:rsidP="004C6CFF">
            <w:pPr>
              <w:jc w:val="both"/>
              <w:rPr>
                <w:bCs/>
                <w:iCs/>
                <w:sz w:val="22"/>
                <w:szCs w:val="22"/>
              </w:rPr>
            </w:pPr>
          </w:p>
        </w:tc>
        <w:tc>
          <w:tcPr>
            <w:tcW w:w="1559" w:type="dxa"/>
            <w:shd w:val="clear" w:color="auto" w:fill="D3DFEE"/>
          </w:tcPr>
          <w:p w:rsidR="007A149B" w:rsidRPr="003A7C49" w:rsidRDefault="00F82FC5" w:rsidP="004C6CFF">
            <w:pPr>
              <w:jc w:val="both"/>
              <w:rPr>
                <w:bCs/>
                <w:iCs/>
                <w:sz w:val="22"/>
                <w:szCs w:val="22"/>
              </w:rPr>
            </w:pPr>
            <w:r w:rsidRPr="003A7C49">
              <w:rPr>
                <w:bCs/>
                <w:iCs/>
                <w:sz w:val="22"/>
                <w:szCs w:val="22"/>
              </w:rPr>
              <w:t>MP1</w:t>
            </w:r>
          </w:p>
        </w:tc>
        <w:tc>
          <w:tcPr>
            <w:tcW w:w="1560" w:type="dxa"/>
            <w:shd w:val="clear" w:color="auto" w:fill="D3DFEE"/>
          </w:tcPr>
          <w:p w:rsidR="007A149B" w:rsidRPr="003A7C49" w:rsidRDefault="003741B5" w:rsidP="004C6CFF">
            <w:pPr>
              <w:jc w:val="both"/>
              <w:rPr>
                <w:bCs/>
                <w:iCs/>
                <w:sz w:val="22"/>
                <w:szCs w:val="22"/>
              </w:rPr>
            </w:pPr>
            <w:r>
              <w:rPr>
                <w:bCs/>
                <w:iCs/>
                <w:sz w:val="22"/>
                <w:szCs w:val="22"/>
              </w:rPr>
              <w:t xml:space="preserve">HMO – Landlords - Amenities and Facilities </w:t>
            </w:r>
            <w:r>
              <w:rPr>
                <w:bCs/>
                <w:iCs/>
                <w:sz w:val="22"/>
                <w:szCs w:val="22"/>
              </w:rPr>
              <w:lastRenderedPageBreak/>
              <w:t xml:space="preserve">Guide. </w:t>
            </w:r>
          </w:p>
        </w:tc>
      </w:tr>
    </w:tbl>
    <w:p w:rsidR="00F911C9" w:rsidRPr="00880933" w:rsidRDefault="00F911C9" w:rsidP="004C6CFF"/>
    <w:p w:rsidR="006572A4" w:rsidRDefault="00106DC0" w:rsidP="004C6CFF">
      <w:pPr>
        <w:pStyle w:val="HEADINGA"/>
      </w:pPr>
      <w:r>
        <w:t>CONSULTATION RESPONSES</w:t>
      </w:r>
    </w:p>
    <w:p w:rsidR="00106DC0" w:rsidRPr="00106DC0" w:rsidRDefault="00106DC0" w:rsidP="004C6CFF">
      <w:pPr>
        <w:pStyle w:val="PARAGRAPHA"/>
      </w:pPr>
      <w:r w:rsidRPr="00106DC0">
        <w:t xml:space="preserve">Site notices were displayed around the application site on </w:t>
      </w:r>
      <w:r w:rsidR="00FF573C">
        <w:t>17th October 2018</w:t>
      </w:r>
      <w:r w:rsidR="00A32E6C">
        <w:t xml:space="preserve">. </w:t>
      </w:r>
    </w:p>
    <w:p w:rsidR="006572A4" w:rsidRPr="00880933" w:rsidRDefault="006572A4" w:rsidP="004C6CFF">
      <w:pPr>
        <w:pStyle w:val="HEADINGB"/>
        <w:ind w:firstLine="0"/>
      </w:pPr>
      <w:r w:rsidRPr="00880933">
        <w:t>Statutory</w:t>
      </w:r>
      <w:r w:rsidR="00106DC0" w:rsidRPr="00880933">
        <w:t xml:space="preserve"> and </w:t>
      </w:r>
      <w:r w:rsidR="00880933" w:rsidRPr="00880933">
        <w:t>n</w:t>
      </w:r>
      <w:r w:rsidR="00106DC0" w:rsidRPr="00880933">
        <w:t>on</w:t>
      </w:r>
      <w:r w:rsidR="00880933" w:rsidRPr="00880933">
        <w:t>-s</w:t>
      </w:r>
      <w:r w:rsidR="00106DC0" w:rsidRPr="00880933">
        <w:t>tatutory</w:t>
      </w:r>
      <w:r w:rsidRPr="00880933">
        <w:t xml:space="preserve"> </w:t>
      </w:r>
      <w:r w:rsidR="00880933" w:rsidRPr="00880933">
        <w:t>c</w:t>
      </w:r>
      <w:r w:rsidRPr="00880933">
        <w:t>onsultees</w:t>
      </w:r>
    </w:p>
    <w:p w:rsidR="00DF6366" w:rsidRPr="00880933" w:rsidRDefault="00DF6366" w:rsidP="004C6CFF">
      <w:pPr>
        <w:pStyle w:val="HEADINGC"/>
        <w:ind w:left="0" w:firstLine="425"/>
      </w:pPr>
      <w:r w:rsidRPr="00880933">
        <w:t>Oxfordshire County Council (Highways)</w:t>
      </w:r>
    </w:p>
    <w:p w:rsidR="00A32E6C" w:rsidRDefault="00A32E6C" w:rsidP="004C6CFF">
      <w:pPr>
        <w:adjustRightInd w:val="0"/>
        <w:ind w:left="425" w:hanging="425"/>
        <w:rPr>
          <w:lang w:eastAsia="en-GB"/>
        </w:rPr>
      </w:pPr>
      <w:r>
        <w:t>9.2</w:t>
      </w:r>
      <w:r>
        <w:tab/>
      </w:r>
      <w:r>
        <w:rPr>
          <w:lang w:eastAsia="en-GB"/>
        </w:rPr>
        <w:t>The above proposals seek a change of use from a single dwelling to provide a House in Multiple Occupation (HMO) with 4 No. bedrooms. Cycle parking will be provided within an existing integral garage (which is not of sufficient size to park a vehicle) and a single car parking space provided on the adjacent driveway.</w:t>
      </w:r>
    </w:p>
    <w:p w:rsidR="00A32E6C" w:rsidRDefault="00A32E6C" w:rsidP="004C6CFF">
      <w:pPr>
        <w:adjustRightInd w:val="0"/>
        <w:ind w:left="425"/>
        <w:rPr>
          <w:lang w:eastAsia="en-GB"/>
        </w:rPr>
      </w:pPr>
      <w:r>
        <w:rPr>
          <w:lang w:eastAsia="en-GB"/>
        </w:rPr>
        <w:t>When reviewing the development, it is noted that the site is located with the Transport Central Area as defined by the Oxford City Local Plan. Furthermore, there is no requirement to provide additional car or cycle parking facilities, in accordance with the council</w:t>
      </w:r>
      <w:r w:rsidR="00521EA2">
        <w:rPr>
          <w:lang w:eastAsia="en-GB"/>
        </w:rPr>
        <w:t>’</w:t>
      </w:r>
      <w:r>
        <w:rPr>
          <w:lang w:eastAsia="en-GB"/>
        </w:rPr>
        <w:t>s adopted parking standards. Therefore, based on the above, it is considered that the proposals would not have a material impact along the adjacent highway network and an objection in relation to the highway and transportation aspect of the development is not raised in this instance.</w:t>
      </w:r>
    </w:p>
    <w:p w:rsidR="00A32E6C" w:rsidRDefault="00A32E6C" w:rsidP="004C6CFF">
      <w:pPr>
        <w:adjustRightInd w:val="0"/>
        <w:rPr>
          <w:lang w:eastAsia="en-GB"/>
        </w:rPr>
      </w:pPr>
    </w:p>
    <w:p w:rsidR="00DF6366" w:rsidRPr="00A32E6C" w:rsidRDefault="00A32E6C" w:rsidP="004C6CFF">
      <w:pPr>
        <w:pStyle w:val="PARAGRAPHA"/>
        <w:numPr>
          <w:ilvl w:val="0"/>
          <w:numId w:val="0"/>
        </w:numPr>
        <w:ind w:left="432"/>
        <w:rPr>
          <w:u w:val="single"/>
        </w:rPr>
      </w:pPr>
      <w:r w:rsidRPr="00A32E6C">
        <w:rPr>
          <w:u w:val="single"/>
        </w:rPr>
        <w:t xml:space="preserve">Oxford City Council – Internal </w:t>
      </w:r>
      <w:r>
        <w:rPr>
          <w:u w:val="single"/>
        </w:rPr>
        <w:t>(</w:t>
      </w:r>
      <w:r w:rsidRPr="00A32E6C">
        <w:rPr>
          <w:u w:val="single"/>
        </w:rPr>
        <w:t>HMO Licensing</w:t>
      </w:r>
      <w:r>
        <w:rPr>
          <w:u w:val="single"/>
        </w:rPr>
        <w:t>)</w:t>
      </w:r>
    </w:p>
    <w:p w:rsidR="001B08AA" w:rsidRDefault="00A32E6C" w:rsidP="004C6CFF">
      <w:pPr>
        <w:pStyle w:val="PARAGRAPHA"/>
        <w:numPr>
          <w:ilvl w:val="0"/>
          <w:numId w:val="0"/>
        </w:numPr>
        <w:ind w:left="432" w:hanging="432"/>
      </w:pPr>
      <w:r>
        <w:t xml:space="preserve">9.3 Summary of Advice </w:t>
      </w:r>
      <w:r w:rsidR="001B08AA">
        <w:t>:</w:t>
      </w:r>
    </w:p>
    <w:p w:rsidR="00A32E6C" w:rsidRPr="00A32E6C" w:rsidRDefault="001B08AA" w:rsidP="004C6CFF">
      <w:pPr>
        <w:pStyle w:val="PARAGRAPHA"/>
        <w:numPr>
          <w:ilvl w:val="0"/>
          <w:numId w:val="0"/>
        </w:numPr>
        <w:ind w:left="432"/>
      </w:pPr>
      <w:r>
        <w:t>Overall there is s</w:t>
      </w:r>
      <w:r w:rsidR="00A32E6C" w:rsidRPr="00A32E6C">
        <w:t xml:space="preserve">ufficient bedroom area and plentiful bathroom facilities. </w:t>
      </w:r>
      <w:r>
        <w:t>The k</w:t>
      </w:r>
      <w:r w:rsidR="00A32E6C" w:rsidRPr="00A32E6C">
        <w:t>itchen/diner space</w:t>
      </w:r>
      <w:r>
        <w:t xml:space="preserve"> would limit any occupancy to no more than five.</w:t>
      </w:r>
    </w:p>
    <w:p w:rsidR="00A32E6C" w:rsidRPr="00A32E6C" w:rsidRDefault="00A32E6C" w:rsidP="004C6CFF"/>
    <w:p w:rsidR="006572A4" w:rsidRPr="00DF6366" w:rsidRDefault="00A700F7" w:rsidP="004C6CFF">
      <w:pPr>
        <w:pStyle w:val="HEADINGB"/>
      </w:pPr>
      <w:r w:rsidRPr="00DF6366">
        <w:t>Public representations</w:t>
      </w:r>
    </w:p>
    <w:p w:rsidR="009F1256" w:rsidRDefault="00D42EA4" w:rsidP="004C6CFF">
      <w:pPr>
        <w:pStyle w:val="PARAGRAPHA"/>
        <w:numPr>
          <w:ilvl w:val="0"/>
          <w:numId w:val="0"/>
        </w:numPr>
        <w:ind w:left="720" w:hanging="720"/>
      </w:pPr>
      <w:r>
        <w:t>9.9</w:t>
      </w:r>
      <w:r>
        <w:tab/>
      </w:r>
      <w:r w:rsidR="00820204">
        <w:t xml:space="preserve">11 </w:t>
      </w:r>
      <w:r w:rsidR="00A700F7">
        <w:t xml:space="preserve">local people </w:t>
      </w:r>
      <w:r w:rsidR="00A821B7">
        <w:t>commented on</w:t>
      </w:r>
      <w:r w:rsidR="00A700F7">
        <w:t xml:space="preserve"> thi</w:t>
      </w:r>
      <w:r w:rsidR="009F1256">
        <w:t xml:space="preserve">s application from addresses in: Dale Close only.  </w:t>
      </w:r>
    </w:p>
    <w:p w:rsidR="006572A4" w:rsidRDefault="00214DAB" w:rsidP="004C6CFF">
      <w:pPr>
        <w:pStyle w:val="PARAGRAPHA"/>
        <w:numPr>
          <w:ilvl w:val="1"/>
          <w:numId w:val="22"/>
        </w:numPr>
      </w:pPr>
      <w:r>
        <w:t>In summary, t</w:t>
      </w:r>
      <w:r w:rsidR="006572A4">
        <w:t xml:space="preserve">he main points </w:t>
      </w:r>
      <w:r w:rsidR="00A700F7">
        <w:t>of objection</w:t>
      </w:r>
      <w:r w:rsidR="00710DE9">
        <w:t xml:space="preserve"> (11 </w:t>
      </w:r>
      <w:r w:rsidR="00E06578">
        <w:t>residents)</w:t>
      </w:r>
      <w:r w:rsidR="00A700F7">
        <w:t xml:space="preserve"> </w:t>
      </w:r>
      <w:r w:rsidR="006572A4">
        <w:t>were:</w:t>
      </w:r>
    </w:p>
    <w:p w:rsidR="00820204" w:rsidRDefault="009F1256" w:rsidP="004C6CFF">
      <w:pPr>
        <w:pStyle w:val="HEADINGA"/>
        <w:numPr>
          <w:ilvl w:val="0"/>
          <w:numId w:val="8"/>
        </w:numPr>
        <w:rPr>
          <w:b w:val="0"/>
        </w:rPr>
      </w:pPr>
      <w:r w:rsidRPr="00820204">
        <w:rPr>
          <w:b w:val="0"/>
        </w:rPr>
        <w:t>Lack of Bin / Recy</w:t>
      </w:r>
      <w:r w:rsidR="00820204">
        <w:rPr>
          <w:b w:val="0"/>
        </w:rPr>
        <w:t>cling Storage</w:t>
      </w:r>
    </w:p>
    <w:p w:rsidR="009F1256" w:rsidRPr="00820204" w:rsidRDefault="009F1256" w:rsidP="004C6CFF">
      <w:pPr>
        <w:pStyle w:val="HEADINGA"/>
        <w:numPr>
          <w:ilvl w:val="0"/>
          <w:numId w:val="8"/>
        </w:numPr>
        <w:rPr>
          <w:b w:val="0"/>
        </w:rPr>
      </w:pPr>
      <w:r w:rsidRPr="00820204">
        <w:rPr>
          <w:b w:val="0"/>
        </w:rPr>
        <w:t xml:space="preserve">Effect on Adjoining Properties </w:t>
      </w:r>
    </w:p>
    <w:p w:rsidR="009F1256" w:rsidRPr="009F1256" w:rsidRDefault="009F1256" w:rsidP="004C6CFF">
      <w:pPr>
        <w:pStyle w:val="HEADINGA"/>
        <w:numPr>
          <w:ilvl w:val="0"/>
          <w:numId w:val="8"/>
        </w:numPr>
        <w:rPr>
          <w:b w:val="0"/>
        </w:rPr>
      </w:pPr>
      <w:r w:rsidRPr="009F1256">
        <w:rPr>
          <w:b w:val="0"/>
        </w:rPr>
        <w:t xml:space="preserve">Effect on Character of Area </w:t>
      </w:r>
    </w:p>
    <w:p w:rsidR="009F1256" w:rsidRPr="009F1256" w:rsidRDefault="009F1256" w:rsidP="004C6CFF">
      <w:pPr>
        <w:pStyle w:val="HEADINGA"/>
        <w:numPr>
          <w:ilvl w:val="0"/>
          <w:numId w:val="8"/>
        </w:numPr>
        <w:rPr>
          <w:b w:val="0"/>
        </w:rPr>
      </w:pPr>
      <w:r w:rsidRPr="009F1256">
        <w:rPr>
          <w:b w:val="0"/>
        </w:rPr>
        <w:t xml:space="preserve">Effect on Traffic </w:t>
      </w:r>
    </w:p>
    <w:p w:rsidR="009F1256" w:rsidRPr="009F1256" w:rsidRDefault="009F1256" w:rsidP="004C6CFF">
      <w:pPr>
        <w:pStyle w:val="HEADINGA"/>
        <w:numPr>
          <w:ilvl w:val="0"/>
          <w:numId w:val="8"/>
        </w:numPr>
        <w:rPr>
          <w:b w:val="0"/>
        </w:rPr>
      </w:pPr>
      <w:r w:rsidRPr="009F1256">
        <w:rPr>
          <w:b w:val="0"/>
        </w:rPr>
        <w:t xml:space="preserve">Parking Provision </w:t>
      </w:r>
    </w:p>
    <w:p w:rsidR="009F1256" w:rsidRPr="009F1256" w:rsidRDefault="009F1256" w:rsidP="004C6CFF">
      <w:pPr>
        <w:pStyle w:val="HEADINGA"/>
        <w:numPr>
          <w:ilvl w:val="0"/>
          <w:numId w:val="8"/>
        </w:numPr>
        <w:rPr>
          <w:b w:val="0"/>
        </w:rPr>
      </w:pPr>
      <w:r w:rsidRPr="009F1256">
        <w:rPr>
          <w:b w:val="0"/>
        </w:rPr>
        <w:t>Genera</w:t>
      </w:r>
      <w:r w:rsidR="00BF61F1">
        <w:rPr>
          <w:b w:val="0"/>
        </w:rPr>
        <w:t>l</w:t>
      </w:r>
      <w:r w:rsidRPr="009F1256">
        <w:rPr>
          <w:b w:val="0"/>
        </w:rPr>
        <w:t xml:space="preserve"> Dislike or support for proposal </w:t>
      </w:r>
    </w:p>
    <w:p w:rsidR="009F1256" w:rsidRPr="009F1256" w:rsidRDefault="009F1256" w:rsidP="004C6CFF">
      <w:pPr>
        <w:pStyle w:val="HEADINGA"/>
        <w:numPr>
          <w:ilvl w:val="0"/>
          <w:numId w:val="8"/>
        </w:numPr>
        <w:rPr>
          <w:b w:val="0"/>
        </w:rPr>
      </w:pPr>
      <w:r w:rsidRPr="009F1256">
        <w:rPr>
          <w:b w:val="0"/>
        </w:rPr>
        <w:t xml:space="preserve">Access </w:t>
      </w:r>
    </w:p>
    <w:p w:rsidR="009F1256" w:rsidRPr="009F1256" w:rsidRDefault="009F1256" w:rsidP="004C6CFF">
      <w:pPr>
        <w:pStyle w:val="HEADINGA"/>
        <w:numPr>
          <w:ilvl w:val="0"/>
          <w:numId w:val="8"/>
        </w:numPr>
        <w:rPr>
          <w:b w:val="0"/>
        </w:rPr>
      </w:pPr>
      <w:r w:rsidRPr="009F1256">
        <w:rPr>
          <w:b w:val="0"/>
        </w:rPr>
        <w:lastRenderedPageBreak/>
        <w:t xml:space="preserve">Noise and Disturbance </w:t>
      </w:r>
    </w:p>
    <w:p w:rsidR="009F1256" w:rsidRPr="009F1256" w:rsidRDefault="009F1256" w:rsidP="004C6CFF">
      <w:pPr>
        <w:pStyle w:val="HEADINGA"/>
        <w:numPr>
          <w:ilvl w:val="0"/>
          <w:numId w:val="8"/>
        </w:numPr>
        <w:rPr>
          <w:b w:val="0"/>
        </w:rPr>
      </w:pPr>
      <w:r w:rsidRPr="009F1256">
        <w:rPr>
          <w:b w:val="0"/>
        </w:rPr>
        <w:t xml:space="preserve">Internal Arrangement Inadequate </w:t>
      </w:r>
    </w:p>
    <w:p w:rsidR="009F1256" w:rsidRPr="009F1256" w:rsidRDefault="009F1256" w:rsidP="004C6CFF">
      <w:pPr>
        <w:pStyle w:val="HEADINGA"/>
        <w:numPr>
          <w:ilvl w:val="0"/>
          <w:numId w:val="8"/>
        </w:numPr>
        <w:rPr>
          <w:b w:val="0"/>
        </w:rPr>
      </w:pPr>
      <w:r w:rsidRPr="009F1256">
        <w:rPr>
          <w:b w:val="0"/>
        </w:rPr>
        <w:t>Previous HMO application refused</w:t>
      </w:r>
    </w:p>
    <w:p w:rsidR="009F1256" w:rsidRPr="009F1256" w:rsidRDefault="009F1256" w:rsidP="004C6CFF">
      <w:pPr>
        <w:pStyle w:val="HEADINGA"/>
        <w:numPr>
          <w:ilvl w:val="0"/>
          <w:numId w:val="8"/>
        </w:numPr>
        <w:rPr>
          <w:b w:val="0"/>
        </w:rPr>
      </w:pPr>
      <w:r w:rsidRPr="009F1256">
        <w:rPr>
          <w:b w:val="0"/>
        </w:rPr>
        <w:t>Obstruction to Emergency Services</w:t>
      </w:r>
    </w:p>
    <w:p w:rsidR="009F1256" w:rsidRPr="009F1256" w:rsidRDefault="009F1256" w:rsidP="004C6CFF">
      <w:pPr>
        <w:pStyle w:val="HEADINGA"/>
        <w:numPr>
          <w:ilvl w:val="0"/>
          <w:numId w:val="8"/>
        </w:numPr>
        <w:rPr>
          <w:b w:val="0"/>
        </w:rPr>
      </w:pPr>
      <w:r w:rsidRPr="009F1256">
        <w:rPr>
          <w:b w:val="0"/>
        </w:rPr>
        <w:t xml:space="preserve">Noise </w:t>
      </w:r>
    </w:p>
    <w:p w:rsidR="009F1256" w:rsidRPr="009F1256" w:rsidRDefault="009F1256" w:rsidP="004C6CFF">
      <w:pPr>
        <w:pStyle w:val="HEADINGA"/>
        <w:numPr>
          <w:ilvl w:val="0"/>
          <w:numId w:val="8"/>
        </w:numPr>
        <w:rPr>
          <w:b w:val="0"/>
        </w:rPr>
      </w:pPr>
      <w:r w:rsidRPr="009F1256">
        <w:rPr>
          <w:b w:val="0"/>
        </w:rPr>
        <w:t xml:space="preserve">Effect on existing Community Facilities </w:t>
      </w:r>
    </w:p>
    <w:p w:rsidR="009F1256" w:rsidRPr="009F1256" w:rsidRDefault="009F1256" w:rsidP="004C6CFF">
      <w:pPr>
        <w:pStyle w:val="HEADINGA"/>
        <w:numPr>
          <w:ilvl w:val="0"/>
          <w:numId w:val="8"/>
        </w:numPr>
        <w:rPr>
          <w:b w:val="0"/>
        </w:rPr>
      </w:pPr>
      <w:r w:rsidRPr="009F1256">
        <w:rPr>
          <w:b w:val="0"/>
        </w:rPr>
        <w:t xml:space="preserve">Effect on Pollution </w:t>
      </w:r>
    </w:p>
    <w:p w:rsidR="009F1256" w:rsidRPr="009F1256" w:rsidRDefault="009F1256" w:rsidP="004C6CFF">
      <w:pPr>
        <w:pStyle w:val="HEADINGA"/>
        <w:numPr>
          <w:ilvl w:val="0"/>
          <w:numId w:val="8"/>
        </w:numPr>
        <w:rPr>
          <w:b w:val="0"/>
        </w:rPr>
      </w:pPr>
      <w:r w:rsidRPr="009F1256">
        <w:rPr>
          <w:b w:val="0"/>
        </w:rPr>
        <w:t xml:space="preserve">Effect on Privacy </w:t>
      </w:r>
    </w:p>
    <w:p w:rsidR="00820204" w:rsidRDefault="009F1256" w:rsidP="004C6CFF">
      <w:pPr>
        <w:pStyle w:val="HEADINGA"/>
        <w:numPr>
          <w:ilvl w:val="0"/>
          <w:numId w:val="8"/>
        </w:numPr>
        <w:rPr>
          <w:b w:val="0"/>
        </w:rPr>
      </w:pPr>
      <w:r w:rsidRPr="009F1256">
        <w:rPr>
          <w:b w:val="0"/>
        </w:rPr>
        <w:t xml:space="preserve">Local Plan Policies </w:t>
      </w:r>
    </w:p>
    <w:p w:rsidR="00C4387F" w:rsidRPr="00820204" w:rsidRDefault="009F1256" w:rsidP="004C6CFF">
      <w:pPr>
        <w:pStyle w:val="HEADINGA"/>
        <w:numPr>
          <w:ilvl w:val="0"/>
          <w:numId w:val="8"/>
        </w:numPr>
        <w:rPr>
          <w:b w:val="0"/>
        </w:rPr>
      </w:pPr>
      <w:r w:rsidRPr="00820204">
        <w:rPr>
          <w:b w:val="0"/>
        </w:rPr>
        <w:t xml:space="preserve">On-street Parking. </w:t>
      </w:r>
    </w:p>
    <w:p w:rsidR="00A44477" w:rsidRPr="009F1256" w:rsidRDefault="00A44477" w:rsidP="004C6CFF">
      <w:pPr>
        <w:pStyle w:val="HEADINGA"/>
        <w:numPr>
          <w:ilvl w:val="0"/>
          <w:numId w:val="0"/>
        </w:numPr>
        <w:ind w:left="709" w:hanging="709"/>
        <w:rPr>
          <w:b w:val="0"/>
        </w:rPr>
      </w:pPr>
      <w:r>
        <w:rPr>
          <w:b w:val="0"/>
        </w:rPr>
        <w:t>9.11</w:t>
      </w:r>
      <w:r w:rsidR="00820204">
        <w:rPr>
          <w:b w:val="0"/>
        </w:rPr>
        <w:t xml:space="preserve"> </w:t>
      </w:r>
      <w:r w:rsidR="00820204">
        <w:rPr>
          <w:b w:val="0"/>
        </w:rPr>
        <w:tab/>
      </w:r>
      <w:r>
        <w:rPr>
          <w:b w:val="0"/>
        </w:rPr>
        <w:t xml:space="preserve">Officer’s Response: </w:t>
      </w:r>
      <w:r w:rsidR="00820204">
        <w:rPr>
          <w:b w:val="0"/>
        </w:rPr>
        <w:t>Officer</w:t>
      </w:r>
      <w:r>
        <w:rPr>
          <w:b w:val="0"/>
        </w:rPr>
        <w:t xml:space="preserve">s note the above matters </w:t>
      </w:r>
      <w:r w:rsidR="00820204">
        <w:rPr>
          <w:b w:val="0"/>
        </w:rPr>
        <w:t>which are responded to in the report below.</w:t>
      </w:r>
      <w:r>
        <w:rPr>
          <w:b w:val="0"/>
        </w:rPr>
        <w:t xml:space="preserve"> </w:t>
      </w:r>
    </w:p>
    <w:p w:rsidR="007872A5" w:rsidRDefault="00A80ADA" w:rsidP="004C6CFF">
      <w:pPr>
        <w:pStyle w:val="HEADINGA"/>
        <w:numPr>
          <w:ilvl w:val="0"/>
          <w:numId w:val="17"/>
        </w:numPr>
      </w:pPr>
      <w:r>
        <w:t>PLANNING MATERIAL CONSIDERATIONS</w:t>
      </w:r>
    </w:p>
    <w:p w:rsidR="001866CA" w:rsidRDefault="001866CA" w:rsidP="004C6CFF">
      <w:pPr>
        <w:pStyle w:val="PARAGRAPHA"/>
        <w:numPr>
          <w:ilvl w:val="1"/>
          <w:numId w:val="17"/>
        </w:numPr>
      </w:pPr>
      <w:r>
        <w:t>Officers consider the determining issues to be:</w:t>
      </w:r>
    </w:p>
    <w:p w:rsidR="009F1256" w:rsidRPr="009F1256" w:rsidRDefault="009F1256" w:rsidP="004C6CFF">
      <w:pPr>
        <w:pStyle w:val="HEADINGA"/>
        <w:numPr>
          <w:ilvl w:val="0"/>
          <w:numId w:val="9"/>
        </w:numPr>
        <w:rPr>
          <w:b w:val="0"/>
          <w:lang w:val="en-US"/>
        </w:rPr>
      </w:pPr>
      <w:r w:rsidRPr="009F1256">
        <w:rPr>
          <w:b w:val="0"/>
          <w:lang w:val="en-US"/>
        </w:rPr>
        <w:t xml:space="preserve">Sustainability </w:t>
      </w:r>
    </w:p>
    <w:p w:rsidR="009F1256" w:rsidRPr="009F1256" w:rsidRDefault="009F1256" w:rsidP="004C6CFF">
      <w:pPr>
        <w:pStyle w:val="HEADINGA"/>
        <w:numPr>
          <w:ilvl w:val="0"/>
          <w:numId w:val="9"/>
        </w:numPr>
        <w:rPr>
          <w:b w:val="0"/>
          <w:lang w:val="en-US"/>
        </w:rPr>
      </w:pPr>
      <w:r w:rsidRPr="009F1256">
        <w:rPr>
          <w:b w:val="0"/>
          <w:lang w:val="en-US"/>
        </w:rPr>
        <w:t>Concentration of HMOs</w:t>
      </w:r>
    </w:p>
    <w:p w:rsidR="009F1256" w:rsidRPr="009F1256" w:rsidRDefault="009F1256" w:rsidP="004C6CFF">
      <w:pPr>
        <w:pStyle w:val="HEADINGA"/>
        <w:numPr>
          <w:ilvl w:val="0"/>
          <w:numId w:val="9"/>
        </w:numPr>
        <w:rPr>
          <w:b w:val="0"/>
          <w:lang w:val="en-US"/>
        </w:rPr>
      </w:pPr>
      <w:r w:rsidRPr="009F1256">
        <w:rPr>
          <w:b w:val="0"/>
          <w:lang w:val="en-US"/>
        </w:rPr>
        <w:t xml:space="preserve">Design and Visual Impacts </w:t>
      </w:r>
    </w:p>
    <w:p w:rsidR="009F1256" w:rsidRPr="009F1256" w:rsidRDefault="009F1256" w:rsidP="004C6CFF">
      <w:pPr>
        <w:pStyle w:val="HEADINGA"/>
        <w:numPr>
          <w:ilvl w:val="0"/>
          <w:numId w:val="9"/>
        </w:numPr>
        <w:rPr>
          <w:b w:val="0"/>
          <w:lang w:val="en-US"/>
        </w:rPr>
      </w:pPr>
      <w:r w:rsidRPr="009F1256">
        <w:rPr>
          <w:b w:val="0"/>
          <w:lang w:val="en-US"/>
        </w:rPr>
        <w:t xml:space="preserve">Residential Amenity </w:t>
      </w:r>
    </w:p>
    <w:p w:rsidR="009F1256" w:rsidRDefault="009F1256" w:rsidP="004C6CFF">
      <w:pPr>
        <w:pStyle w:val="HEADINGA"/>
        <w:numPr>
          <w:ilvl w:val="0"/>
          <w:numId w:val="9"/>
        </w:numPr>
        <w:rPr>
          <w:b w:val="0"/>
          <w:lang w:val="en-US"/>
        </w:rPr>
      </w:pPr>
      <w:r w:rsidRPr="009F1256">
        <w:rPr>
          <w:b w:val="0"/>
          <w:lang w:val="en-US"/>
        </w:rPr>
        <w:t>Cycle Parkin</w:t>
      </w:r>
      <w:r>
        <w:rPr>
          <w:b w:val="0"/>
          <w:lang w:val="en-US"/>
        </w:rPr>
        <w:t>g, Bin Storage and Car Parking</w:t>
      </w:r>
      <w:r w:rsidR="00D42EA4">
        <w:rPr>
          <w:b w:val="0"/>
          <w:lang w:val="en-US"/>
        </w:rPr>
        <w:t>.</w:t>
      </w:r>
      <w:r w:rsidRPr="009F1256">
        <w:rPr>
          <w:b w:val="0"/>
          <w:lang w:val="en-US"/>
        </w:rPr>
        <w:t xml:space="preserve"> </w:t>
      </w:r>
    </w:p>
    <w:p w:rsidR="00CD082D" w:rsidRPr="00CD082D" w:rsidRDefault="00D42EA4" w:rsidP="004C6CFF">
      <w:pPr>
        <w:pStyle w:val="HEADINGA"/>
        <w:numPr>
          <w:ilvl w:val="0"/>
          <w:numId w:val="0"/>
        </w:numPr>
        <w:ind w:left="709" w:hanging="709"/>
        <w:rPr>
          <w:b w:val="0"/>
          <w:u w:val="single"/>
          <w:lang w:val="en-US"/>
        </w:rPr>
      </w:pPr>
      <w:r w:rsidRPr="00D42EA4">
        <w:rPr>
          <w:b w:val="0"/>
          <w:lang w:val="en-US"/>
        </w:rPr>
        <w:t>11</w:t>
      </w:r>
      <w:r w:rsidRPr="00D42EA4">
        <w:rPr>
          <w:b w:val="0"/>
          <w:lang w:val="en-US"/>
        </w:rPr>
        <w:tab/>
      </w:r>
      <w:r w:rsidR="00CD082D" w:rsidRPr="00CD082D">
        <w:rPr>
          <w:b w:val="0"/>
          <w:u w:val="single"/>
          <w:lang w:val="en-US"/>
        </w:rPr>
        <w:t>Sustainability</w:t>
      </w:r>
    </w:p>
    <w:p w:rsidR="009F1256" w:rsidRDefault="00D42EA4" w:rsidP="004C6CFF">
      <w:pPr>
        <w:rPr>
          <w:lang w:val="en-US"/>
        </w:rPr>
      </w:pPr>
      <w:r>
        <w:rPr>
          <w:lang w:val="en-US"/>
        </w:rPr>
        <w:t>11.1</w:t>
      </w:r>
      <w:r>
        <w:rPr>
          <w:lang w:val="en-US"/>
        </w:rPr>
        <w:tab/>
      </w:r>
      <w:r w:rsidR="009F1256" w:rsidRPr="007644A9">
        <w:rPr>
          <w:lang w:val="en-US"/>
        </w:rPr>
        <w:t>When considering development proposals t</w:t>
      </w:r>
      <w:r w:rsidR="009F1256">
        <w:rPr>
          <w:lang w:val="en-US"/>
        </w:rPr>
        <w:t>he Council will take a positive</w:t>
      </w:r>
    </w:p>
    <w:p w:rsidR="009F1256" w:rsidRDefault="009F1256" w:rsidP="004C6CFF">
      <w:pPr>
        <w:ind w:firstLine="720"/>
        <w:rPr>
          <w:lang w:val="en-US"/>
        </w:rPr>
      </w:pPr>
      <w:r w:rsidRPr="007644A9">
        <w:rPr>
          <w:lang w:val="en-US"/>
        </w:rPr>
        <w:t>approach that reflects the presumption in fa</w:t>
      </w:r>
      <w:r>
        <w:rPr>
          <w:lang w:val="en-US"/>
        </w:rPr>
        <w:t>vour of sustainable development</w:t>
      </w:r>
    </w:p>
    <w:p w:rsidR="009F1256" w:rsidRDefault="009F1256" w:rsidP="004C6CFF">
      <w:pPr>
        <w:ind w:firstLine="720"/>
        <w:rPr>
          <w:lang w:val="en-US"/>
        </w:rPr>
      </w:pPr>
      <w:r w:rsidRPr="007644A9">
        <w:rPr>
          <w:lang w:val="en-US"/>
        </w:rPr>
        <w:t>contained in the National Planning Policy Fram</w:t>
      </w:r>
      <w:r>
        <w:rPr>
          <w:lang w:val="en-US"/>
        </w:rPr>
        <w:t>ework. It will work proactively</w:t>
      </w:r>
    </w:p>
    <w:p w:rsidR="009F1256" w:rsidRDefault="009F1256" w:rsidP="004C6CFF">
      <w:pPr>
        <w:ind w:firstLine="720"/>
        <w:rPr>
          <w:lang w:val="en-US"/>
        </w:rPr>
      </w:pPr>
      <w:r w:rsidRPr="007644A9">
        <w:rPr>
          <w:lang w:val="en-US"/>
        </w:rPr>
        <w:t>with applicants jointly to find solutions w</w:t>
      </w:r>
      <w:r>
        <w:rPr>
          <w:lang w:val="en-US"/>
        </w:rPr>
        <w:t>hich mean that applications for</w:t>
      </w:r>
    </w:p>
    <w:p w:rsidR="009F1256" w:rsidRDefault="009F1256" w:rsidP="004C6CFF">
      <w:pPr>
        <w:ind w:firstLine="720"/>
        <w:rPr>
          <w:lang w:val="en-US"/>
        </w:rPr>
      </w:pPr>
      <w:r w:rsidRPr="007644A9">
        <w:rPr>
          <w:lang w:val="en-US"/>
        </w:rPr>
        <w:t>sustainable development can be approve</w:t>
      </w:r>
      <w:r>
        <w:rPr>
          <w:lang w:val="en-US"/>
        </w:rPr>
        <w:t>d where possible, and to secure</w:t>
      </w:r>
    </w:p>
    <w:p w:rsidR="009F1256" w:rsidRDefault="009F1256" w:rsidP="004C6CFF">
      <w:pPr>
        <w:ind w:firstLine="720"/>
        <w:rPr>
          <w:lang w:val="en-US"/>
        </w:rPr>
      </w:pPr>
      <w:r w:rsidRPr="007644A9">
        <w:rPr>
          <w:lang w:val="en-US"/>
        </w:rPr>
        <w:t>development that improves the economic, soci</w:t>
      </w:r>
      <w:r>
        <w:rPr>
          <w:lang w:val="en-US"/>
        </w:rPr>
        <w:t>al and environmental conditions</w:t>
      </w:r>
    </w:p>
    <w:p w:rsidR="00CD082D" w:rsidRDefault="009F1256" w:rsidP="004C6CFF">
      <w:pPr>
        <w:ind w:firstLine="720"/>
        <w:rPr>
          <w:lang w:val="en-US"/>
        </w:rPr>
      </w:pPr>
      <w:r w:rsidRPr="007644A9">
        <w:rPr>
          <w:lang w:val="en-US"/>
        </w:rPr>
        <w:t xml:space="preserve">in the area. </w:t>
      </w:r>
    </w:p>
    <w:p w:rsidR="00D42EA4" w:rsidRPr="00D42EA4" w:rsidRDefault="00D42EA4" w:rsidP="004C6CFF">
      <w:pPr>
        <w:ind w:firstLine="720"/>
        <w:rPr>
          <w:lang w:val="en-US"/>
        </w:rPr>
      </w:pPr>
    </w:p>
    <w:p w:rsidR="00515927" w:rsidRPr="00515927" w:rsidRDefault="00D42EA4" w:rsidP="004C6CFF">
      <w:pPr>
        <w:pStyle w:val="HEADINGC"/>
        <w:ind w:left="0" w:firstLine="0"/>
        <w:rPr>
          <w:iCs/>
        </w:rPr>
      </w:pPr>
      <w:r w:rsidRPr="00D42EA4">
        <w:rPr>
          <w:u w:val="none"/>
        </w:rPr>
        <w:t>12</w:t>
      </w:r>
      <w:r w:rsidRPr="00D42EA4">
        <w:rPr>
          <w:u w:val="none"/>
        </w:rPr>
        <w:tab/>
      </w:r>
      <w:r w:rsidR="00EA7C20">
        <w:t>Concentration</w:t>
      </w:r>
      <w:r w:rsidR="00CD082D">
        <w:t xml:space="preserve"> of HMOs </w:t>
      </w:r>
    </w:p>
    <w:p w:rsidR="00D42EA4" w:rsidRDefault="00D42EA4" w:rsidP="004C6CFF">
      <w:pPr>
        <w:pStyle w:val="Default"/>
        <w:ind w:left="720" w:hanging="720"/>
      </w:pPr>
      <w:r>
        <w:t>12.1</w:t>
      </w:r>
      <w:r>
        <w:tab/>
      </w:r>
      <w:r w:rsidR="00CD082D">
        <w:t>As of 24</w:t>
      </w:r>
      <w:r w:rsidR="00CD082D" w:rsidRPr="009C1B0B">
        <w:t xml:space="preserve"> February 2012 planning permission is required to change the use of any dwellinghouse (Use Class C3) in Oxford City to a House in Multiple </w:t>
      </w:r>
      <w:r w:rsidR="00CD082D" w:rsidRPr="009C1B0B">
        <w:lastRenderedPageBreak/>
        <w:t xml:space="preserve">Occupation (Use Class C4) due to the removal of permitted development rights under an Article 4 Direction. </w:t>
      </w:r>
    </w:p>
    <w:p w:rsidR="00D42EA4" w:rsidRDefault="00D42EA4" w:rsidP="004C6CFF">
      <w:pPr>
        <w:pStyle w:val="Default"/>
        <w:ind w:left="720" w:hanging="720"/>
      </w:pPr>
    </w:p>
    <w:p w:rsidR="00D42EA4" w:rsidRDefault="00D42EA4" w:rsidP="004C6CFF">
      <w:pPr>
        <w:pStyle w:val="Default"/>
        <w:ind w:left="720" w:hanging="720"/>
      </w:pPr>
      <w:r>
        <w:t>12.2</w:t>
      </w:r>
      <w:r>
        <w:tab/>
      </w:r>
      <w:r w:rsidR="00CD082D" w:rsidRPr="009C1B0B">
        <w:t>Policy HP7 of the Sites and Housing Plan stipulates that change</w:t>
      </w:r>
      <w:r w:rsidR="00CD082D">
        <w:t>s</w:t>
      </w:r>
      <w:r w:rsidR="00CD082D" w:rsidRPr="009C1B0B">
        <w:t xml:space="preserve"> of use to an HMO will only be granted where the proportion of buildings used in full or part as an HMO within 100m of street length either side of the application site does not exceed 20%. This includes side road</w:t>
      </w:r>
      <w:r w:rsidR="00CD082D">
        <w:t>s</w:t>
      </w:r>
      <w:r w:rsidR="00CD082D" w:rsidRPr="009C1B0B">
        <w:t xml:space="preserve"> and footpaths.</w:t>
      </w:r>
    </w:p>
    <w:p w:rsidR="00D42EA4" w:rsidRDefault="00D42EA4" w:rsidP="004C6CFF">
      <w:pPr>
        <w:pStyle w:val="Default"/>
      </w:pPr>
    </w:p>
    <w:p w:rsidR="00CD082D" w:rsidRDefault="00D42EA4" w:rsidP="004C6CFF">
      <w:pPr>
        <w:pStyle w:val="Default"/>
        <w:ind w:left="720" w:hanging="720"/>
      </w:pPr>
      <w:r>
        <w:t>12.3</w:t>
      </w:r>
      <w:r>
        <w:tab/>
      </w:r>
      <w:r w:rsidR="00CD082D" w:rsidRPr="00A535FC">
        <w:t>Within 100m either side of 13 Dale Close, there is a total of 50 properties (including the host property). The proposal would result in two of these buildings being classed as HMOs. This results in a total of 4%, well within the allowed 20%</w:t>
      </w:r>
      <w:r w:rsidR="00EA7C20">
        <w:t xml:space="preserve"> threshold set out in Policy HP7 of the Sites and Housing Plan (2013).</w:t>
      </w:r>
    </w:p>
    <w:p w:rsidR="00CD082D" w:rsidRPr="00A535FC" w:rsidRDefault="00CD082D" w:rsidP="004C6CFF">
      <w:pPr>
        <w:widowControl w:val="0"/>
        <w:jc w:val="both"/>
      </w:pPr>
    </w:p>
    <w:p w:rsidR="00CD082D" w:rsidRPr="009C1B0B" w:rsidRDefault="00D42EA4" w:rsidP="004C6CFF">
      <w:pPr>
        <w:widowControl w:val="0"/>
        <w:ind w:left="720" w:hanging="720"/>
        <w:jc w:val="both"/>
      </w:pPr>
      <w:r>
        <w:t>12.4</w:t>
      </w:r>
      <w:r>
        <w:tab/>
      </w:r>
      <w:r w:rsidR="00CD082D" w:rsidRPr="00A535FC">
        <w:t>The proposal would therefore not result in an over concentration of Houses in Multiple Occupation within the relevant 100m area, which would not have a detrimental impact upon the balance and mix of dwelling types within the surrounding area and retaining the objective of creating balanced and sustainable communities. The development proposed is therefore considered to comply with Policy HP7 of the Sites and Housing Plan 2011-2026.</w:t>
      </w:r>
    </w:p>
    <w:p w:rsidR="00CD082D" w:rsidRDefault="00CD082D" w:rsidP="004C6CFF">
      <w:pPr>
        <w:widowControl w:val="0"/>
        <w:jc w:val="both"/>
        <w:rPr>
          <w:lang w:val="en-US"/>
        </w:rPr>
      </w:pPr>
    </w:p>
    <w:p w:rsidR="00515927" w:rsidRDefault="00D42EA4" w:rsidP="004C6CFF">
      <w:pPr>
        <w:pStyle w:val="PARAGRAPHA"/>
        <w:numPr>
          <w:ilvl w:val="0"/>
          <w:numId w:val="0"/>
        </w:numPr>
        <w:ind w:left="432" w:hanging="432"/>
        <w:rPr>
          <w:iCs/>
          <w:u w:val="single"/>
        </w:rPr>
      </w:pPr>
      <w:r>
        <w:rPr>
          <w:iCs/>
        </w:rPr>
        <w:t>13</w:t>
      </w:r>
      <w:r>
        <w:rPr>
          <w:iCs/>
        </w:rPr>
        <w:tab/>
      </w:r>
      <w:r>
        <w:rPr>
          <w:iCs/>
        </w:rPr>
        <w:tab/>
      </w:r>
      <w:r w:rsidR="00CD082D" w:rsidRPr="00CD082D">
        <w:rPr>
          <w:iCs/>
          <w:u w:val="single"/>
        </w:rPr>
        <w:t>Design and Visual Impacts</w:t>
      </w:r>
    </w:p>
    <w:p w:rsidR="00D42EA4" w:rsidRDefault="00D42EA4" w:rsidP="004C6CFF">
      <w:pPr>
        <w:widowControl w:val="0"/>
        <w:ind w:left="720" w:hanging="720"/>
        <w:jc w:val="both"/>
      </w:pPr>
      <w:r>
        <w:rPr>
          <w:iCs/>
        </w:rPr>
        <w:t>13.1</w:t>
      </w:r>
      <w:r>
        <w:rPr>
          <w:iCs/>
        </w:rPr>
        <w:tab/>
      </w:r>
      <w:r w:rsidR="00CD082D">
        <w:t xml:space="preserve">Policy HP7 also states that the applicant needs to demonstrate they have complied with the Council’s good practice guidance on HMO amenities and facilities. </w:t>
      </w:r>
    </w:p>
    <w:p w:rsidR="00D42EA4" w:rsidRDefault="00D42EA4" w:rsidP="004C6CFF">
      <w:pPr>
        <w:widowControl w:val="0"/>
        <w:ind w:left="720" w:hanging="720"/>
        <w:jc w:val="both"/>
      </w:pPr>
    </w:p>
    <w:p w:rsidR="003D4CF9" w:rsidRDefault="00D42EA4" w:rsidP="004C6CFF">
      <w:pPr>
        <w:widowControl w:val="0"/>
        <w:ind w:left="720" w:hanging="720"/>
        <w:jc w:val="both"/>
      </w:pPr>
      <w:r>
        <w:t>13.2</w:t>
      </w:r>
      <w:r>
        <w:tab/>
      </w:r>
      <w:r w:rsidR="00710DE9">
        <w:t xml:space="preserve">The proposed plans confirm that no changes are proposed to the ground floor layout. At this level, a garage is accessible from the front elevation. When entering the property via the porch, the hallway leads to a WC followed by a kitchen / diner to the rear of the property. The garden is accessed via a single door to the rear of the dining room. </w:t>
      </w:r>
    </w:p>
    <w:p w:rsidR="003D4CF9" w:rsidRDefault="003D4CF9" w:rsidP="004C6CFF">
      <w:pPr>
        <w:widowControl w:val="0"/>
        <w:ind w:left="720" w:hanging="720"/>
        <w:jc w:val="both"/>
      </w:pPr>
    </w:p>
    <w:p w:rsidR="00710DE9" w:rsidRDefault="003D4CF9" w:rsidP="004C6CFF">
      <w:pPr>
        <w:widowControl w:val="0"/>
        <w:ind w:left="720" w:hanging="720"/>
        <w:jc w:val="both"/>
      </w:pPr>
      <w:r>
        <w:t xml:space="preserve">13.4 </w:t>
      </w:r>
      <w:r>
        <w:tab/>
      </w:r>
      <w:r w:rsidR="00710DE9">
        <w:t xml:space="preserve">At first floor level, a large siting room with balcony forms the bulk of the rear of this floor. To the front elevation, bedrooms 3 &amp; 4 are situated. At second floor level, bedroom one is located above the siting room, to the rear of the property and towards the front, bedroom two is located above bedrooms 3 &amp; 4. A bathroom and cupboard is are also located at this level. </w:t>
      </w:r>
    </w:p>
    <w:p w:rsidR="00710DE9" w:rsidRDefault="00710DE9" w:rsidP="004C6CFF">
      <w:pPr>
        <w:widowControl w:val="0"/>
        <w:ind w:left="720" w:hanging="720"/>
        <w:jc w:val="both"/>
      </w:pPr>
    </w:p>
    <w:p w:rsidR="00CD082D" w:rsidRDefault="003D4CF9" w:rsidP="004C6CFF">
      <w:pPr>
        <w:widowControl w:val="0"/>
        <w:ind w:left="720" w:hanging="720"/>
        <w:jc w:val="both"/>
      </w:pPr>
      <w:r>
        <w:t>13.5</w:t>
      </w:r>
      <w:r>
        <w:tab/>
      </w:r>
      <w:r w:rsidR="00934530">
        <w:t xml:space="preserve">With regard to the </w:t>
      </w:r>
      <w:r w:rsidR="00CD082D">
        <w:t>two bedrooms on the first floor: bedroom three measures approximately 8.8m² and bedroom four measures approximately 6.5m².  As such, bedrooms 3 and 4 would be of a satisfactory si</w:t>
      </w:r>
      <w:r w:rsidR="00104868">
        <w:t>ze to accommodate one occupant each.</w:t>
      </w:r>
    </w:p>
    <w:p w:rsidR="00D42EA4" w:rsidRDefault="00D42EA4" w:rsidP="004C6CFF">
      <w:pPr>
        <w:widowControl w:val="0"/>
        <w:ind w:left="720" w:hanging="720"/>
        <w:jc w:val="both"/>
      </w:pPr>
    </w:p>
    <w:p w:rsidR="00D42EA4" w:rsidRDefault="00D42EA4" w:rsidP="004C6CFF">
      <w:pPr>
        <w:widowControl w:val="0"/>
        <w:ind w:left="720" w:hanging="720"/>
        <w:jc w:val="both"/>
      </w:pPr>
      <w:r>
        <w:t>13.</w:t>
      </w:r>
      <w:r w:rsidR="003D4CF9">
        <w:t>6</w:t>
      </w:r>
      <w:r>
        <w:tab/>
      </w:r>
      <w:r w:rsidR="00CD082D">
        <w:t xml:space="preserve">The first floor sitting room has </w:t>
      </w:r>
      <w:r w:rsidR="00B91437">
        <w:t xml:space="preserve">a </w:t>
      </w:r>
      <w:r w:rsidR="00CD082D">
        <w:t xml:space="preserve">floor area of 17.4m² and would be of a sufficient size to </w:t>
      </w:r>
      <w:r w:rsidR="00934530">
        <w:t>retain its use</w:t>
      </w:r>
      <w:r w:rsidR="00CD082D">
        <w:t xml:space="preserve"> as a sitting room. </w:t>
      </w:r>
    </w:p>
    <w:p w:rsidR="00D42EA4" w:rsidRDefault="00D42EA4" w:rsidP="004C6CFF">
      <w:pPr>
        <w:widowControl w:val="0"/>
        <w:ind w:left="720" w:hanging="720"/>
        <w:jc w:val="both"/>
      </w:pPr>
    </w:p>
    <w:p w:rsidR="00D42EA4" w:rsidRDefault="00D42EA4" w:rsidP="004C6CFF">
      <w:pPr>
        <w:widowControl w:val="0"/>
        <w:ind w:left="720" w:hanging="720"/>
        <w:jc w:val="both"/>
      </w:pPr>
      <w:r>
        <w:t>13.</w:t>
      </w:r>
      <w:r w:rsidR="003D4CF9">
        <w:t>7</w:t>
      </w:r>
      <w:r>
        <w:tab/>
      </w:r>
      <w:r w:rsidR="00CD082D">
        <w:t xml:space="preserve">At second floor level, bedroom two located towards the front elevation has a useable floor area of 10.9m² - when ceiling height not below 150cm. As such, this bedroom falls just under the necessary 11m² required for a two person </w:t>
      </w:r>
      <w:r w:rsidR="00CD082D">
        <w:lastRenderedPageBreak/>
        <w:t xml:space="preserve">occupancy. However, the difference of this bedroom is considered negligible and officers are satisfied that bedroom two would prove a satisfactory floor area for a two person occupancy. </w:t>
      </w:r>
    </w:p>
    <w:p w:rsidR="00D42EA4" w:rsidRDefault="00D42EA4" w:rsidP="004C6CFF">
      <w:pPr>
        <w:widowControl w:val="0"/>
        <w:ind w:left="720" w:hanging="720"/>
        <w:jc w:val="both"/>
      </w:pPr>
    </w:p>
    <w:p w:rsidR="00D42EA4" w:rsidRDefault="00D42EA4" w:rsidP="004C6CFF">
      <w:pPr>
        <w:widowControl w:val="0"/>
        <w:ind w:left="720" w:hanging="720"/>
        <w:jc w:val="both"/>
      </w:pPr>
      <w:r>
        <w:t>13.</w:t>
      </w:r>
      <w:r w:rsidR="003D4CF9">
        <w:t>8</w:t>
      </w:r>
      <w:r>
        <w:tab/>
      </w:r>
      <w:r w:rsidR="00CD082D">
        <w:t xml:space="preserve">Bedroom one, located to the rear of the property at second floor level, has a floor area of 17.7m² (minus the balcony area) and is therefore suitable for </w:t>
      </w:r>
      <w:proofErr w:type="gramStart"/>
      <w:r w:rsidR="00CD082D">
        <w:t>a two</w:t>
      </w:r>
      <w:proofErr w:type="gramEnd"/>
      <w:r w:rsidR="00CD082D">
        <w:t xml:space="preserve"> person occupancy. </w:t>
      </w:r>
    </w:p>
    <w:p w:rsidR="00D42EA4" w:rsidRDefault="00D42EA4" w:rsidP="004C6CFF">
      <w:pPr>
        <w:widowControl w:val="0"/>
        <w:ind w:left="720" w:hanging="720"/>
        <w:jc w:val="both"/>
      </w:pPr>
    </w:p>
    <w:p w:rsidR="00D42EA4" w:rsidRDefault="00D42EA4" w:rsidP="004C6CFF">
      <w:pPr>
        <w:widowControl w:val="0"/>
        <w:ind w:left="720" w:hanging="720"/>
        <w:jc w:val="both"/>
      </w:pPr>
      <w:r>
        <w:t>13.</w:t>
      </w:r>
      <w:r w:rsidR="003D4CF9">
        <w:t>9</w:t>
      </w:r>
      <w:r>
        <w:tab/>
      </w:r>
      <w:r w:rsidR="00CD082D">
        <w:t>The combined kitchen / diner of 8.8m² and 11.66m² equalling 20.46m² complies with the guidance and is considered of a sufficien</w:t>
      </w:r>
      <w:r w:rsidR="00934530">
        <w:t>t size for up to 5 occupants</w:t>
      </w:r>
      <w:r w:rsidR="00CD082D">
        <w:t xml:space="preserve">. </w:t>
      </w:r>
    </w:p>
    <w:p w:rsidR="00D42EA4" w:rsidRDefault="00D42EA4" w:rsidP="004C6CFF">
      <w:pPr>
        <w:widowControl w:val="0"/>
        <w:ind w:left="720" w:hanging="720"/>
        <w:jc w:val="both"/>
      </w:pPr>
    </w:p>
    <w:p w:rsidR="00D42EA4" w:rsidRDefault="00D42EA4" w:rsidP="004C6CFF">
      <w:pPr>
        <w:widowControl w:val="0"/>
        <w:ind w:left="720" w:hanging="720"/>
        <w:jc w:val="both"/>
      </w:pPr>
      <w:r>
        <w:t>13.</w:t>
      </w:r>
      <w:r w:rsidR="003D4CF9">
        <w:t>10</w:t>
      </w:r>
      <w:r>
        <w:tab/>
      </w:r>
      <w:r w:rsidR="00CD082D">
        <w:t xml:space="preserve">Overall, officers are satisfied that the proposed floor layouts would be in accordance with the council’s HMO guidance with sufficient bathroom facilities for up to 5 persons. The layout of the property is dealt with by a condition on the HMO license. </w:t>
      </w:r>
    </w:p>
    <w:p w:rsidR="00D42EA4" w:rsidRDefault="00D42EA4" w:rsidP="004C6CFF">
      <w:pPr>
        <w:widowControl w:val="0"/>
        <w:ind w:left="720" w:hanging="720"/>
        <w:jc w:val="both"/>
      </w:pPr>
    </w:p>
    <w:p w:rsidR="00CD082D" w:rsidRDefault="00D42EA4" w:rsidP="004C6CFF">
      <w:pPr>
        <w:widowControl w:val="0"/>
        <w:ind w:left="720" w:hanging="720"/>
        <w:jc w:val="both"/>
      </w:pPr>
      <w:r>
        <w:t>13.</w:t>
      </w:r>
      <w:r w:rsidR="003D4CF9">
        <w:t>11</w:t>
      </w:r>
      <w:r>
        <w:tab/>
      </w:r>
      <w:r w:rsidR="00CD082D">
        <w:t xml:space="preserve">The proposal is therefore considered to comply with policies CP1 and CP10 and the Local Plan and HP7 of the Sites and Housing Plan. </w:t>
      </w:r>
    </w:p>
    <w:p w:rsidR="00CD082D" w:rsidRPr="00CD082D" w:rsidRDefault="00CD082D" w:rsidP="004C6CFF">
      <w:pPr>
        <w:widowControl w:val="0"/>
        <w:ind w:left="709"/>
        <w:jc w:val="both"/>
      </w:pPr>
    </w:p>
    <w:p w:rsidR="00CD082D" w:rsidRDefault="00D42EA4" w:rsidP="004C6CFF">
      <w:pPr>
        <w:pStyle w:val="PARAGRAPHA"/>
        <w:numPr>
          <w:ilvl w:val="0"/>
          <w:numId w:val="0"/>
        </w:numPr>
        <w:ind w:left="432" w:hanging="432"/>
        <w:rPr>
          <w:iCs/>
          <w:u w:val="single"/>
        </w:rPr>
      </w:pPr>
      <w:r>
        <w:rPr>
          <w:iCs/>
        </w:rPr>
        <w:t>14</w:t>
      </w:r>
      <w:r>
        <w:rPr>
          <w:iCs/>
        </w:rPr>
        <w:tab/>
      </w:r>
      <w:r>
        <w:rPr>
          <w:iCs/>
        </w:rPr>
        <w:tab/>
      </w:r>
      <w:r w:rsidR="00CD082D">
        <w:rPr>
          <w:iCs/>
          <w:u w:val="single"/>
        </w:rPr>
        <w:t xml:space="preserve">Residential Amenity: </w:t>
      </w:r>
    </w:p>
    <w:p w:rsidR="00D42EA4" w:rsidRDefault="00D42EA4" w:rsidP="004C6CFF">
      <w:pPr>
        <w:adjustRightInd w:val="0"/>
        <w:spacing w:after="200"/>
        <w:ind w:left="720" w:hanging="720"/>
      </w:pPr>
      <w:r>
        <w:t>14.1</w:t>
      </w:r>
      <w:r>
        <w:tab/>
      </w:r>
      <w:r w:rsidR="00CD082D" w:rsidRPr="00847A2B">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D42EA4" w:rsidRDefault="00D42EA4" w:rsidP="004C6CFF">
      <w:pPr>
        <w:adjustRightInd w:val="0"/>
        <w:spacing w:after="200"/>
        <w:ind w:left="720" w:hanging="720"/>
        <w:rPr>
          <w:lang w:val="en-US"/>
        </w:rPr>
      </w:pPr>
      <w:r>
        <w:t>14.2</w:t>
      </w:r>
      <w:r>
        <w:tab/>
      </w:r>
      <w:r w:rsidR="00CD082D" w:rsidRPr="00847A2B">
        <w:rPr>
          <w:lang w:val="en-US"/>
        </w:rPr>
        <w:t>The application does not propose any external changes to the subject property and as such, no significant detrimental amenit</w:t>
      </w:r>
      <w:r w:rsidR="00CD082D">
        <w:rPr>
          <w:lang w:val="en-US"/>
        </w:rPr>
        <w:t>y</w:t>
      </w:r>
      <w:r>
        <w:rPr>
          <w:lang w:val="en-US"/>
        </w:rPr>
        <w:t xml:space="preserve"> impacts are considered likely.</w:t>
      </w:r>
    </w:p>
    <w:p w:rsidR="00CD082D" w:rsidRPr="00D42EA4" w:rsidRDefault="00D42EA4" w:rsidP="004C6CFF">
      <w:pPr>
        <w:adjustRightInd w:val="0"/>
        <w:spacing w:after="200"/>
        <w:ind w:left="720" w:hanging="720"/>
      </w:pPr>
      <w:r>
        <w:rPr>
          <w:lang w:val="en-US"/>
        </w:rPr>
        <w:t>14.3</w:t>
      </w:r>
      <w:r>
        <w:rPr>
          <w:lang w:val="en-US"/>
        </w:rPr>
        <w:tab/>
      </w:r>
      <w:r w:rsidR="00CD082D" w:rsidRPr="00BE2EE6">
        <w:rPr>
          <w:szCs w:val="23"/>
        </w:rPr>
        <w:t>The proposed size of the HMO may have negative impacts due to comings and goings, and nuisance, and could harm residential amenities of neighbouring property.</w:t>
      </w:r>
    </w:p>
    <w:p w:rsidR="00CD082D" w:rsidRPr="00847A2B" w:rsidRDefault="00D42EA4" w:rsidP="004C6CFF">
      <w:pPr>
        <w:widowControl w:val="0"/>
        <w:ind w:left="720" w:hanging="720"/>
        <w:jc w:val="both"/>
        <w:rPr>
          <w:lang w:val="en-US"/>
        </w:rPr>
      </w:pPr>
      <w:r>
        <w:rPr>
          <w:lang w:val="en-US"/>
        </w:rPr>
        <w:t>14.4</w:t>
      </w:r>
      <w:r>
        <w:rPr>
          <w:lang w:val="en-US"/>
        </w:rPr>
        <w:tab/>
      </w:r>
      <w:r w:rsidR="00CD082D" w:rsidRPr="00847A2B">
        <w:rPr>
          <w:lang w:val="en-US"/>
        </w:rPr>
        <w:t xml:space="preserve">With regard to any nuisances that may arise as a result of the operation of the proposed HMO, officers recommend that where such instances occur, residents contact the relevant department of the </w:t>
      </w:r>
      <w:r w:rsidR="004C6CFF">
        <w:rPr>
          <w:lang w:val="en-US"/>
        </w:rPr>
        <w:t>C</w:t>
      </w:r>
      <w:r w:rsidR="00CD082D" w:rsidRPr="00847A2B">
        <w:rPr>
          <w:lang w:val="en-US"/>
        </w:rPr>
        <w:t xml:space="preserve">ouncil for investigation. </w:t>
      </w:r>
    </w:p>
    <w:p w:rsidR="00CD082D" w:rsidRPr="00847A2B" w:rsidRDefault="00CD082D" w:rsidP="004C6CFF">
      <w:pPr>
        <w:widowControl w:val="0"/>
        <w:jc w:val="both"/>
        <w:rPr>
          <w:i/>
          <w:lang w:val="en-US"/>
        </w:rPr>
      </w:pPr>
    </w:p>
    <w:p w:rsidR="00CD082D" w:rsidRPr="00847A2B" w:rsidRDefault="00D42EA4" w:rsidP="004C6CFF">
      <w:pPr>
        <w:adjustRightInd w:val="0"/>
        <w:spacing w:after="200"/>
        <w:ind w:left="709" w:hanging="709"/>
      </w:pPr>
      <w:r>
        <w:t>14.5</w:t>
      </w:r>
      <w:r>
        <w:tab/>
      </w:r>
      <w:r w:rsidR="00CD082D" w:rsidRPr="00847A2B">
        <w:t xml:space="preserve">It is always necessary for developments to take into account the residential amenity of neighbours and impact on the environment. In this case, the proposal complies with the principles of good neighbourliness and the protection of existing residential amenities. </w:t>
      </w:r>
    </w:p>
    <w:p w:rsidR="00CD082D" w:rsidRPr="00847A2B" w:rsidRDefault="00D42EA4" w:rsidP="004C6CFF">
      <w:pPr>
        <w:ind w:left="709" w:hanging="709"/>
        <w:rPr>
          <w:rFonts w:eastAsia="Arial Unicode MS"/>
        </w:rPr>
      </w:pPr>
      <w:r>
        <w:t>14.6</w:t>
      </w:r>
      <w:r>
        <w:tab/>
      </w:r>
      <w:r w:rsidR="00CD082D" w:rsidRPr="00847A2B">
        <w:t xml:space="preserve">As such, the proposal would not lead to any materially harmful impact on residential amenity by way of loss of light, loss of outlook, loss of privacy or overbearing impact. It would therefore accord with </w:t>
      </w:r>
      <w:r w:rsidR="000B0111" w:rsidRPr="00847A2B">
        <w:rPr>
          <w:color w:val="000000"/>
        </w:rPr>
        <w:t>Policies CP10</w:t>
      </w:r>
      <w:r w:rsidR="00CD082D" w:rsidRPr="00847A2B">
        <w:rPr>
          <w:color w:val="000000"/>
        </w:rPr>
        <w:t xml:space="preserve"> of the Local Plan, HP14 and MP1 of the Sites and Housing Plan 2013. </w:t>
      </w:r>
    </w:p>
    <w:p w:rsidR="00CD082D" w:rsidRPr="00CD082D" w:rsidRDefault="00CD082D" w:rsidP="004C6CFF">
      <w:pPr>
        <w:widowControl w:val="0"/>
        <w:jc w:val="both"/>
        <w:rPr>
          <w:iCs/>
        </w:rPr>
      </w:pPr>
    </w:p>
    <w:p w:rsidR="00CD082D" w:rsidRPr="00CD082D" w:rsidRDefault="00D42EA4" w:rsidP="004C6CFF">
      <w:pPr>
        <w:widowControl w:val="0"/>
        <w:jc w:val="both"/>
        <w:rPr>
          <w:u w:val="single"/>
          <w:lang w:val="en-US"/>
        </w:rPr>
      </w:pPr>
      <w:r w:rsidRPr="00D42EA4">
        <w:rPr>
          <w:lang w:val="en-US"/>
        </w:rPr>
        <w:lastRenderedPageBreak/>
        <w:t>15</w:t>
      </w:r>
      <w:r w:rsidRPr="00D42EA4">
        <w:rPr>
          <w:lang w:val="en-US"/>
        </w:rPr>
        <w:tab/>
      </w:r>
      <w:r w:rsidR="00CD082D" w:rsidRPr="00CD082D">
        <w:rPr>
          <w:u w:val="single"/>
          <w:lang w:val="en-US"/>
        </w:rPr>
        <w:t xml:space="preserve">Cycle Parking, Bin Storage and Car Parking: </w:t>
      </w:r>
    </w:p>
    <w:p w:rsidR="00CD082D" w:rsidRDefault="00CD082D" w:rsidP="004C6CFF">
      <w:pPr>
        <w:widowControl w:val="0"/>
        <w:jc w:val="both"/>
        <w:rPr>
          <w:lang w:val="en-US"/>
        </w:rPr>
      </w:pPr>
    </w:p>
    <w:p w:rsidR="000B0111" w:rsidRDefault="00D42EA4" w:rsidP="004C6CFF">
      <w:pPr>
        <w:widowControl w:val="0"/>
        <w:ind w:left="709" w:hanging="709"/>
        <w:jc w:val="both"/>
        <w:rPr>
          <w:lang w:val="en-US"/>
        </w:rPr>
      </w:pPr>
      <w:r>
        <w:rPr>
          <w:lang w:val="en-US"/>
        </w:rPr>
        <w:t>15.1</w:t>
      </w:r>
      <w:r>
        <w:rPr>
          <w:lang w:val="en-US"/>
        </w:rPr>
        <w:tab/>
      </w:r>
      <w:r w:rsidR="00CD082D">
        <w:rPr>
          <w:lang w:val="en-US"/>
        </w:rPr>
        <w:t xml:space="preserve">With regard to cycle parking, the proposed HMO would seek to utilise the existing garage space to store bicycles. </w:t>
      </w:r>
      <w:r w:rsidR="000B0111">
        <w:rPr>
          <w:lang w:val="en-US"/>
        </w:rPr>
        <w:t>The garage would be secure and covered. It is considered that the existing garage is not large enough to park a modern car in.</w:t>
      </w:r>
    </w:p>
    <w:p w:rsidR="00A54041" w:rsidRDefault="00A54041" w:rsidP="004C6CFF">
      <w:pPr>
        <w:widowControl w:val="0"/>
        <w:ind w:left="709" w:hanging="709"/>
        <w:jc w:val="both"/>
        <w:rPr>
          <w:lang w:val="en-US"/>
        </w:rPr>
      </w:pPr>
    </w:p>
    <w:p w:rsidR="000B0111" w:rsidRDefault="00D42EA4" w:rsidP="004C6CFF">
      <w:pPr>
        <w:widowControl w:val="0"/>
        <w:jc w:val="both"/>
        <w:rPr>
          <w:lang w:val="en-US"/>
        </w:rPr>
      </w:pPr>
      <w:r>
        <w:rPr>
          <w:lang w:val="en-US"/>
        </w:rPr>
        <w:t>15.2</w:t>
      </w:r>
      <w:r>
        <w:rPr>
          <w:lang w:val="en-US"/>
        </w:rPr>
        <w:tab/>
      </w:r>
      <w:r w:rsidR="000B0111">
        <w:rPr>
          <w:lang w:val="en-US"/>
        </w:rPr>
        <w:t>A single car parking space is provided for the property on the front forecourt.</w:t>
      </w:r>
    </w:p>
    <w:p w:rsidR="00CD082D" w:rsidRDefault="00CD082D" w:rsidP="004C6CFF">
      <w:pPr>
        <w:widowControl w:val="0"/>
        <w:ind w:left="709"/>
        <w:jc w:val="both"/>
        <w:rPr>
          <w:lang w:val="en-US"/>
        </w:rPr>
      </w:pPr>
      <w:r>
        <w:rPr>
          <w:lang w:val="en-US"/>
        </w:rPr>
        <w:t>The subject property is located within the Transport Central Area as defined by the Oxford City Local Plan.</w:t>
      </w:r>
      <w:r w:rsidR="000B0111">
        <w:rPr>
          <w:lang w:val="en-US"/>
        </w:rPr>
        <w:t xml:space="preserve"> In this location there is a reduced requirement for car parking because of the excellent access to services and public transport in the City Centre. The St Ebbes area has double yellow lines and it is not possible to park a car on street in most locations. Officers are therefore satisfied that the proposed development would not lead to an increase in parking stress in the locality or compromise highway safety</w:t>
      </w:r>
      <w:r>
        <w:rPr>
          <w:lang w:val="en-US"/>
        </w:rPr>
        <w:t xml:space="preserve"> </w:t>
      </w:r>
    </w:p>
    <w:p w:rsidR="00CD082D" w:rsidRDefault="00CD082D" w:rsidP="004C6CFF">
      <w:pPr>
        <w:widowControl w:val="0"/>
        <w:jc w:val="both"/>
        <w:rPr>
          <w:lang w:val="en-US"/>
        </w:rPr>
      </w:pPr>
    </w:p>
    <w:p w:rsidR="00CD082D" w:rsidRDefault="00D42EA4" w:rsidP="004C6CFF">
      <w:pPr>
        <w:widowControl w:val="0"/>
        <w:ind w:left="709" w:hanging="709"/>
        <w:jc w:val="both"/>
        <w:rPr>
          <w:lang w:val="en-US"/>
        </w:rPr>
      </w:pPr>
      <w:r>
        <w:rPr>
          <w:lang w:val="en-US"/>
        </w:rPr>
        <w:t>15.3</w:t>
      </w:r>
      <w:r>
        <w:rPr>
          <w:lang w:val="en-US"/>
        </w:rPr>
        <w:tab/>
      </w:r>
      <w:r w:rsidR="00CD082D">
        <w:rPr>
          <w:lang w:val="en-US"/>
        </w:rPr>
        <w:t>As such, based on the above, it is considered that the proposals would not have a material impact alo</w:t>
      </w:r>
      <w:r w:rsidR="000B0111">
        <w:rPr>
          <w:lang w:val="en-US"/>
        </w:rPr>
        <w:t>ng the adjacent highway network. Oxfordshire County Council as the Local Highway Authority have not raised an objection to these proposals.</w:t>
      </w:r>
    </w:p>
    <w:p w:rsidR="00CD082D" w:rsidRDefault="00CD082D" w:rsidP="004C6CFF">
      <w:pPr>
        <w:widowControl w:val="0"/>
        <w:jc w:val="both"/>
        <w:rPr>
          <w:lang w:val="en-US"/>
        </w:rPr>
      </w:pPr>
    </w:p>
    <w:p w:rsidR="00CD082D" w:rsidRDefault="00D42EA4" w:rsidP="004C6CFF">
      <w:pPr>
        <w:widowControl w:val="0"/>
        <w:ind w:left="709" w:hanging="709"/>
        <w:jc w:val="both"/>
        <w:rPr>
          <w:lang w:val="en-US"/>
        </w:rPr>
      </w:pPr>
      <w:r>
        <w:rPr>
          <w:lang w:val="en-US"/>
        </w:rPr>
        <w:t>15.4</w:t>
      </w:r>
      <w:r>
        <w:rPr>
          <w:lang w:val="en-US"/>
        </w:rPr>
        <w:tab/>
      </w:r>
      <w:r w:rsidR="00CD082D">
        <w:rPr>
          <w:lang w:val="en-US"/>
        </w:rPr>
        <w:t xml:space="preserve">The accompanying plans do not identify a specific area for bin storage. However, it has been confirmed with the applicant that the existing internal garage would prove a suitable location to provide covered bin storage of a suitable distance from the adjacent pavement. As such, officers are satisfied that the proposal would accord with </w:t>
      </w:r>
      <w:r w:rsidR="004C6CFF">
        <w:rPr>
          <w:lang w:val="en-US"/>
        </w:rPr>
        <w:t>P</w:t>
      </w:r>
      <w:r w:rsidR="00CD082D">
        <w:rPr>
          <w:lang w:val="en-US"/>
        </w:rPr>
        <w:t>olicies HP13, HP15 and HP16 of the Sites and Housing Plan 2013.</w:t>
      </w:r>
    </w:p>
    <w:p w:rsidR="003048BE" w:rsidRPr="003048BE" w:rsidRDefault="003048BE" w:rsidP="004C6CFF"/>
    <w:p w:rsidR="00D42EA4" w:rsidRDefault="00F65F7D" w:rsidP="004C6CFF">
      <w:pPr>
        <w:pStyle w:val="HEADINGA"/>
        <w:numPr>
          <w:ilvl w:val="0"/>
          <w:numId w:val="27"/>
        </w:numPr>
      </w:pPr>
      <w:r>
        <w:t>CONCLUSION</w:t>
      </w:r>
    </w:p>
    <w:p w:rsidR="00F65F7D" w:rsidRPr="000B0111" w:rsidRDefault="000B0111" w:rsidP="004C6CFF">
      <w:pPr>
        <w:pStyle w:val="HEADINGA"/>
        <w:numPr>
          <w:ilvl w:val="1"/>
          <w:numId w:val="27"/>
        </w:numPr>
        <w:ind w:left="709" w:hanging="709"/>
        <w:rPr>
          <w:b w:val="0"/>
        </w:rPr>
      </w:pPr>
      <w:r w:rsidRPr="000B0111">
        <w:rPr>
          <w:b w:val="0"/>
        </w:rPr>
        <w:t>The application satisfies</w:t>
      </w:r>
      <w:r w:rsidR="00CD082D" w:rsidRPr="000B0111">
        <w:rPr>
          <w:b w:val="0"/>
        </w:rPr>
        <w:t xml:space="preserve"> the criteria for changes of use from </w:t>
      </w:r>
      <w:proofErr w:type="spellStart"/>
      <w:r w:rsidR="00860DA6" w:rsidRPr="000B0111">
        <w:rPr>
          <w:b w:val="0"/>
        </w:rPr>
        <w:t>Dwellinghouse</w:t>
      </w:r>
      <w:r w:rsidR="00A54041">
        <w:rPr>
          <w:b w:val="0"/>
        </w:rPr>
        <w:t>s</w:t>
      </w:r>
      <w:proofErr w:type="spellEnd"/>
      <w:r w:rsidR="00860DA6" w:rsidRPr="000B0111">
        <w:rPr>
          <w:b w:val="0"/>
        </w:rPr>
        <w:t xml:space="preserve"> (Use C</w:t>
      </w:r>
      <w:r>
        <w:rPr>
          <w:b w:val="0"/>
        </w:rPr>
        <w:t xml:space="preserve">lass C3) to HMO (Use Class C4) and specifically meets the requirements of Policy HP7 of the Sites and Housing Plan (2013). Officers have carefully considered the comments raised in the consultation and have concluded that the development would meet the requirements of the Council’s adopted </w:t>
      </w:r>
      <w:r w:rsidR="00695C8D">
        <w:rPr>
          <w:b w:val="0"/>
        </w:rPr>
        <w:t>policies</w:t>
      </w:r>
      <w:r>
        <w:rPr>
          <w:b w:val="0"/>
        </w:rPr>
        <w:t>.</w:t>
      </w:r>
      <w:r w:rsidR="00860DA6" w:rsidRPr="000B0111">
        <w:rPr>
          <w:b w:val="0"/>
        </w:rPr>
        <w:t xml:space="preserve"> </w:t>
      </w:r>
      <w:r w:rsidR="00F65F7D" w:rsidRPr="000B0111">
        <w:rPr>
          <w:b w:val="0"/>
        </w:rPr>
        <w:t>It is recommended that the Committee resolve to grant</w:t>
      </w:r>
      <w:r w:rsidR="00860DA6" w:rsidRPr="000B0111">
        <w:rPr>
          <w:b w:val="0"/>
        </w:rPr>
        <w:t xml:space="preserve"> </w:t>
      </w:r>
      <w:r w:rsidR="00F65F7D" w:rsidRPr="000B0111">
        <w:rPr>
          <w:b w:val="0"/>
        </w:rPr>
        <w:t>planning permissi</w:t>
      </w:r>
      <w:r w:rsidR="00860DA6" w:rsidRPr="000B0111">
        <w:rPr>
          <w:b w:val="0"/>
        </w:rPr>
        <w:t xml:space="preserve">on for the development proposed. </w:t>
      </w:r>
    </w:p>
    <w:p w:rsidR="00A37688" w:rsidRPr="00A37688" w:rsidRDefault="00F65F7D" w:rsidP="004C6CFF">
      <w:pPr>
        <w:pStyle w:val="HEADINGA"/>
        <w:numPr>
          <w:ilvl w:val="0"/>
          <w:numId w:val="27"/>
        </w:numPr>
        <w:ind w:left="709" w:hanging="709"/>
      </w:pPr>
      <w:r w:rsidRPr="00281E96">
        <w:t>CONDITIONS</w:t>
      </w:r>
    </w:p>
    <w:p w:rsidR="00A37688" w:rsidRPr="00A37688" w:rsidRDefault="00A37688" w:rsidP="004C6CFF">
      <w:pPr>
        <w:ind w:left="720" w:hanging="720"/>
        <w:rPr>
          <w:sz w:val="22"/>
          <w:szCs w:val="22"/>
        </w:rPr>
      </w:pPr>
      <w:r w:rsidRPr="00A37688">
        <w:rPr>
          <w:sz w:val="22"/>
          <w:szCs w:val="22"/>
        </w:rPr>
        <w:t xml:space="preserve"> 1</w:t>
      </w:r>
      <w:r w:rsidRPr="00A37688">
        <w:rPr>
          <w:sz w:val="22"/>
          <w:szCs w:val="22"/>
        </w:rPr>
        <w:tab/>
        <w:t>The development to which this permission relates must be begun not later than the expiration of three years from the date of this permission.</w:t>
      </w:r>
    </w:p>
    <w:p w:rsidR="00A37688" w:rsidRPr="00A37688" w:rsidRDefault="00A37688" w:rsidP="004C6CFF">
      <w:pPr>
        <w:ind w:left="720" w:hanging="720"/>
        <w:rPr>
          <w:sz w:val="22"/>
          <w:szCs w:val="22"/>
        </w:rPr>
      </w:pPr>
      <w:r w:rsidRPr="00A37688">
        <w:rPr>
          <w:sz w:val="22"/>
          <w:szCs w:val="22"/>
        </w:rPr>
        <w:tab/>
      </w:r>
    </w:p>
    <w:p w:rsidR="00A37688" w:rsidRPr="00A37688" w:rsidRDefault="00A37688" w:rsidP="004C6CFF">
      <w:pPr>
        <w:ind w:left="720" w:hanging="720"/>
        <w:rPr>
          <w:sz w:val="22"/>
          <w:szCs w:val="22"/>
        </w:rPr>
      </w:pPr>
      <w:r w:rsidRPr="00A37688">
        <w:rPr>
          <w:sz w:val="22"/>
          <w:szCs w:val="22"/>
        </w:rPr>
        <w:tab/>
        <w:t>Reason: In accordance with Section 91(1) of the Town and Country Planning Act 1990 as amended by the Planning Compulsory Purchase Act 2004.</w:t>
      </w:r>
    </w:p>
    <w:p w:rsidR="00A37688" w:rsidRPr="00A37688" w:rsidRDefault="00A37688" w:rsidP="004C6CFF">
      <w:pPr>
        <w:ind w:left="720" w:hanging="720"/>
        <w:rPr>
          <w:sz w:val="22"/>
          <w:szCs w:val="22"/>
        </w:rPr>
      </w:pPr>
    </w:p>
    <w:p w:rsidR="00A37688" w:rsidRPr="00A37688" w:rsidRDefault="00A37688" w:rsidP="004C6CFF">
      <w:pPr>
        <w:ind w:left="720" w:hanging="720"/>
        <w:rPr>
          <w:sz w:val="22"/>
          <w:szCs w:val="22"/>
        </w:rPr>
      </w:pPr>
      <w:r w:rsidRPr="00A37688">
        <w:rPr>
          <w:sz w:val="22"/>
          <w:szCs w:val="22"/>
        </w:rPr>
        <w:t xml:space="preserve"> 2</w:t>
      </w:r>
      <w:r w:rsidRPr="00A37688">
        <w:rPr>
          <w:sz w:val="22"/>
          <w:szCs w:val="22"/>
        </w:rPr>
        <w:tab/>
        <w:t>The development permitted shall be constructed in complete accordance with the specifications in the application and approved plans listed below, unless otherwise agreed in writing by the local planning authority.</w:t>
      </w:r>
    </w:p>
    <w:p w:rsidR="00A37688" w:rsidRPr="00A37688" w:rsidRDefault="00A37688" w:rsidP="004C6CFF">
      <w:pPr>
        <w:ind w:left="720" w:hanging="720"/>
        <w:rPr>
          <w:sz w:val="22"/>
          <w:szCs w:val="22"/>
        </w:rPr>
      </w:pPr>
      <w:r w:rsidRPr="00A37688">
        <w:rPr>
          <w:sz w:val="22"/>
          <w:szCs w:val="22"/>
        </w:rPr>
        <w:tab/>
      </w:r>
    </w:p>
    <w:p w:rsidR="00A37688" w:rsidRPr="00A37688" w:rsidRDefault="00A37688" w:rsidP="004C6CFF">
      <w:pPr>
        <w:ind w:left="720" w:hanging="720"/>
        <w:rPr>
          <w:sz w:val="22"/>
          <w:szCs w:val="22"/>
        </w:rPr>
      </w:pPr>
      <w:r w:rsidRPr="00A37688">
        <w:rPr>
          <w:sz w:val="22"/>
          <w:szCs w:val="22"/>
        </w:rPr>
        <w:lastRenderedPageBreak/>
        <w:tab/>
        <w:t>Reason: To avoid doubt and to ensure an acceptable development as indicated on the submitted drawings in accordance with policy CP1 of the Oxford Local Plan 2001-2016.</w:t>
      </w:r>
    </w:p>
    <w:p w:rsidR="00A37688" w:rsidRPr="00A37688" w:rsidRDefault="00A37688" w:rsidP="004C6CFF">
      <w:pPr>
        <w:ind w:left="720" w:hanging="720"/>
        <w:rPr>
          <w:sz w:val="22"/>
          <w:szCs w:val="22"/>
        </w:rPr>
      </w:pPr>
    </w:p>
    <w:p w:rsidR="00A37688" w:rsidRPr="00A37688" w:rsidRDefault="00A37688" w:rsidP="004C6CFF">
      <w:pPr>
        <w:ind w:left="720" w:hanging="720"/>
        <w:rPr>
          <w:sz w:val="22"/>
          <w:szCs w:val="22"/>
        </w:rPr>
      </w:pPr>
      <w:r w:rsidRPr="00A37688">
        <w:rPr>
          <w:sz w:val="22"/>
          <w:szCs w:val="22"/>
        </w:rPr>
        <w:t xml:space="preserve"> 3</w:t>
      </w:r>
      <w:r w:rsidRPr="00A37688">
        <w:rPr>
          <w:sz w:val="22"/>
          <w:szCs w:val="22"/>
        </w:rPr>
        <w:tab/>
        <w:t>Prior to the occupation of the dwelling as an HMO the bin storage on the approved plans shall be provided on site and retained for these purposes thereafter.</w:t>
      </w:r>
    </w:p>
    <w:p w:rsidR="00A37688" w:rsidRPr="00A37688" w:rsidRDefault="00A37688" w:rsidP="004C6CFF">
      <w:pPr>
        <w:ind w:left="720" w:hanging="720"/>
        <w:rPr>
          <w:sz w:val="22"/>
          <w:szCs w:val="22"/>
        </w:rPr>
      </w:pPr>
      <w:r w:rsidRPr="00A37688">
        <w:rPr>
          <w:sz w:val="22"/>
          <w:szCs w:val="22"/>
        </w:rPr>
        <w:tab/>
      </w:r>
    </w:p>
    <w:p w:rsidR="00A37688" w:rsidRPr="00A37688" w:rsidRDefault="00A37688" w:rsidP="004C6CFF">
      <w:pPr>
        <w:ind w:left="720" w:hanging="720"/>
        <w:rPr>
          <w:sz w:val="22"/>
          <w:szCs w:val="22"/>
        </w:rPr>
      </w:pPr>
      <w:r w:rsidRPr="00A37688">
        <w:rPr>
          <w:sz w:val="22"/>
          <w:szCs w:val="22"/>
        </w:rPr>
        <w:tab/>
        <w:t>Reason: In the interests of the character and appearance of the area and promoting sustainable modes of transport in accordance with policies HP13 and HP15 of the Sites and Housing Plan.</w:t>
      </w:r>
    </w:p>
    <w:p w:rsidR="00A37688" w:rsidRDefault="00A37688" w:rsidP="004C6CFF">
      <w:pPr>
        <w:widowControl w:val="0"/>
        <w:rPr>
          <w:u w:val="single"/>
        </w:rPr>
      </w:pPr>
    </w:p>
    <w:p w:rsidR="00AE67D8" w:rsidRDefault="00AE67D8" w:rsidP="004C6CFF">
      <w:pPr>
        <w:widowControl w:val="0"/>
        <w:ind w:left="720" w:hanging="720"/>
      </w:pPr>
      <w:r>
        <w:rPr>
          <w:u w:val="single"/>
        </w:rPr>
        <w:t>INFORMATIVES</w:t>
      </w:r>
      <w:r>
        <w:t xml:space="preserve"> :-</w:t>
      </w:r>
    </w:p>
    <w:p w:rsidR="00AE67D8" w:rsidRDefault="00AE67D8" w:rsidP="004C6CFF">
      <w:pPr>
        <w:widowControl w:val="0"/>
        <w:ind w:left="720" w:hanging="720"/>
      </w:pPr>
    </w:p>
    <w:p w:rsidR="00AE67D8" w:rsidRDefault="00AE67D8" w:rsidP="004C6CFF">
      <w:pPr>
        <w:widowControl w:val="0"/>
        <w:ind w:left="720" w:hanging="720"/>
      </w:pPr>
      <w:r>
        <w:t xml:space="preserve"> 1</w:t>
      </w:r>
      <w:r>
        <w:tab/>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rsidR="00AE67D8" w:rsidRPr="003048BE" w:rsidRDefault="00AE67D8" w:rsidP="004C6CFF"/>
    <w:p w:rsidR="00F65F7D" w:rsidRPr="00732737" w:rsidRDefault="00F65F7D" w:rsidP="004C6CFF">
      <w:pPr>
        <w:pStyle w:val="HEADINGA"/>
        <w:numPr>
          <w:ilvl w:val="0"/>
          <w:numId w:val="27"/>
        </w:numPr>
        <w:ind w:left="709" w:hanging="709"/>
      </w:pPr>
      <w:r>
        <w:t>APPENDICES</w:t>
      </w:r>
    </w:p>
    <w:p w:rsidR="00A80ADA" w:rsidRPr="003048BE" w:rsidRDefault="00F65F7D" w:rsidP="004C6CFF">
      <w:pPr>
        <w:pStyle w:val="BULLETS"/>
      </w:pPr>
      <w:r>
        <w:rPr>
          <w:b/>
        </w:rPr>
        <w:t xml:space="preserve">Appendix 1 – </w:t>
      </w:r>
      <w:r w:rsidRPr="00F65F7D">
        <w:t xml:space="preserve">Site </w:t>
      </w:r>
      <w:r w:rsidR="003048BE">
        <w:t>l</w:t>
      </w:r>
      <w:r w:rsidRPr="00F65F7D">
        <w:t xml:space="preserve">ocation </w:t>
      </w:r>
      <w:r w:rsidR="003048BE">
        <w:t>p</w:t>
      </w:r>
      <w:r w:rsidRPr="00F65F7D">
        <w:t>lan</w:t>
      </w:r>
      <w:r w:rsidR="00B3306B">
        <w:t xml:space="preserve">. </w:t>
      </w:r>
    </w:p>
    <w:p w:rsidR="00A80ADA" w:rsidRPr="00F351CB" w:rsidRDefault="00A80ADA" w:rsidP="004C6CFF">
      <w:pPr>
        <w:pStyle w:val="HEADINGA"/>
        <w:numPr>
          <w:ilvl w:val="0"/>
          <w:numId w:val="27"/>
        </w:numPr>
        <w:ind w:left="709" w:hanging="709"/>
      </w:pPr>
      <w:r w:rsidRPr="00F351CB">
        <w:t>HUMAN RIGHTS ACT 1998</w:t>
      </w:r>
    </w:p>
    <w:p w:rsidR="00A80ADA" w:rsidRPr="003048BE" w:rsidRDefault="00A80ADA" w:rsidP="004C6CFF">
      <w:pPr>
        <w:pStyle w:val="PARAGRAPHA"/>
        <w:numPr>
          <w:ilvl w:val="1"/>
          <w:numId w:val="27"/>
        </w:numPr>
        <w:ind w:hanging="825"/>
      </w:pPr>
      <w:r w:rsidRPr="003048BE">
        <w:t xml:space="preserve">Officers have considered the implications of the Human Rights Act 1998 in reaching a recommendation to </w:t>
      </w:r>
      <w:r w:rsidR="00A37688">
        <w:t>approve</w:t>
      </w:r>
      <w:r w:rsidR="00A37688" w:rsidRPr="003048BE">
        <w:t xml:space="preserve"> this</w:t>
      </w:r>
      <w:r w:rsidRPr="003048BE">
        <w:t xml:space="preserve">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4C6CFF">
      <w:pPr>
        <w:pStyle w:val="HEADINGA"/>
        <w:numPr>
          <w:ilvl w:val="0"/>
          <w:numId w:val="27"/>
        </w:numPr>
        <w:ind w:left="709" w:hanging="709"/>
      </w:pPr>
      <w:r w:rsidRPr="00F351CB">
        <w:t>SECTION 17 OF THE CRIME AND DISORDER ACT 1998</w:t>
      </w:r>
    </w:p>
    <w:p w:rsidR="00096726" w:rsidRDefault="00A80ADA" w:rsidP="004C6CFF">
      <w:pPr>
        <w:pStyle w:val="PARAGRAPHA"/>
        <w:numPr>
          <w:ilvl w:val="1"/>
          <w:numId w:val="27"/>
        </w:numPr>
        <w:ind w:hanging="825"/>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reaching a recommendation to </w:t>
      </w:r>
      <w:r w:rsidR="000B0111">
        <w:t>grant</w:t>
      </w:r>
      <w:r w:rsidRPr="003048BE">
        <w:t xml:space="preserve"> planning permission, officers consider that the proposal will not undermine crime prevention or the promotion of community</w:t>
      </w:r>
      <w:r w:rsidR="00F351CB" w:rsidRPr="003048BE">
        <w:t>.</w:t>
      </w:r>
    </w:p>
    <w:sectPr w:rsidR="00096726"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A" w:rsidRDefault="00806F0A">
      <w:r>
        <w:separator/>
      </w:r>
    </w:p>
  </w:endnote>
  <w:endnote w:type="continuationSeparator" w:id="0">
    <w:p w:rsidR="00806F0A" w:rsidRDefault="008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A" w:rsidRDefault="00806F0A">
      <w:r>
        <w:separator/>
      </w:r>
    </w:p>
  </w:footnote>
  <w:footnote w:type="continuationSeparator" w:id="0">
    <w:p w:rsidR="00806F0A" w:rsidRDefault="0080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A42E9F"/>
    <w:multiLevelType w:val="hybridMultilevel"/>
    <w:tmpl w:val="8F4C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D65BF"/>
    <w:multiLevelType w:val="hybridMultilevel"/>
    <w:tmpl w:val="B2CA986E"/>
    <w:lvl w:ilvl="0" w:tplc="64162CE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093C61"/>
    <w:multiLevelType w:val="multilevel"/>
    <w:tmpl w:val="4D087FF8"/>
    <w:lvl w:ilvl="0">
      <w:start w:val="9"/>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D94769"/>
    <w:multiLevelType w:val="hybridMultilevel"/>
    <w:tmpl w:val="74DA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83230"/>
    <w:multiLevelType w:val="multilevel"/>
    <w:tmpl w:val="4B5A386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6D1470"/>
    <w:multiLevelType w:val="multilevel"/>
    <w:tmpl w:val="70341186"/>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101886"/>
    <w:multiLevelType w:val="hybridMultilevel"/>
    <w:tmpl w:val="DFB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14555"/>
    <w:multiLevelType w:val="hybridMultilevel"/>
    <w:tmpl w:val="0C0ED88A"/>
    <w:lvl w:ilvl="0" w:tplc="A688213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8954AD"/>
    <w:multiLevelType w:val="hybridMultilevel"/>
    <w:tmpl w:val="AEF0CE1E"/>
    <w:lvl w:ilvl="0" w:tplc="6180E3B8">
      <w:start w:val="16"/>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0">
    <w:nsid w:val="2DFC4D0E"/>
    <w:multiLevelType w:val="hybridMultilevel"/>
    <w:tmpl w:val="A44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F331C"/>
    <w:multiLevelType w:val="multilevel"/>
    <w:tmpl w:val="06BE1248"/>
    <w:lvl w:ilvl="0">
      <w:start w:val="1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0AC6AE9"/>
    <w:multiLevelType w:val="hybridMultilevel"/>
    <w:tmpl w:val="07244E7E"/>
    <w:lvl w:ilvl="0" w:tplc="E61EBA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582A0D"/>
    <w:multiLevelType w:val="multilevel"/>
    <w:tmpl w:val="C98ECC32"/>
    <w:lvl w:ilvl="0">
      <w:start w:val="9"/>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947683"/>
    <w:multiLevelType w:val="multilevel"/>
    <w:tmpl w:val="A596E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19D343C"/>
    <w:multiLevelType w:val="multilevel"/>
    <w:tmpl w:val="4CACFAD6"/>
    <w:lvl w:ilvl="0">
      <w:start w:val="9"/>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38E3513"/>
    <w:multiLevelType w:val="hybridMultilevel"/>
    <w:tmpl w:val="F3C6BC06"/>
    <w:lvl w:ilvl="0" w:tplc="06C632B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6472D1"/>
    <w:multiLevelType w:val="hybridMultilevel"/>
    <w:tmpl w:val="0D4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8D619F"/>
    <w:multiLevelType w:val="hybridMultilevel"/>
    <w:tmpl w:val="450C7262"/>
    <w:lvl w:ilvl="0" w:tplc="CA860C2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20F20F6"/>
    <w:multiLevelType w:val="hybridMultilevel"/>
    <w:tmpl w:val="5670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4B3089"/>
    <w:multiLevelType w:val="multilevel"/>
    <w:tmpl w:val="851ADA6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4A43DC7"/>
    <w:multiLevelType w:val="hybridMultilevel"/>
    <w:tmpl w:val="3BCECDFE"/>
    <w:lvl w:ilvl="0" w:tplc="2D72BD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nsid w:val="7043189B"/>
    <w:multiLevelType w:val="multilevel"/>
    <w:tmpl w:val="3C585AB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4FE157B"/>
    <w:multiLevelType w:val="multilevel"/>
    <w:tmpl w:val="74429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451C84"/>
    <w:multiLevelType w:val="hybridMultilevel"/>
    <w:tmpl w:val="BE5A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37CC0"/>
    <w:multiLevelType w:val="hybridMultilevel"/>
    <w:tmpl w:val="3F84115C"/>
    <w:lvl w:ilvl="0" w:tplc="E63AF5E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0"/>
  </w:num>
  <w:num w:numId="4">
    <w:abstractNumId w:val="19"/>
  </w:num>
  <w:num w:numId="5">
    <w:abstractNumId w:val="17"/>
  </w:num>
  <w:num w:numId="6">
    <w:abstractNumId w:val="1"/>
  </w:num>
  <w:num w:numId="7">
    <w:abstractNumId w:val="4"/>
  </w:num>
  <w:num w:numId="8">
    <w:abstractNumId w:val="10"/>
  </w:num>
  <w:num w:numId="9">
    <w:abstractNumId w:val="7"/>
  </w:num>
  <w:num w:numId="10">
    <w:abstractNumId w:val="6"/>
  </w:num>
  <w:num w:numId="11">
    <w:abstractNumId w:val="21"/>
  </w:num>
  <w:num w:numId="12">
    <w:abstractNumId w:val="24"/>
  </w:num>
  <w:num w:numId="13">
    <w:abstractNumId w:val="20"/>
  </w:num>
  <w:num w:numId="14">
    <w:abstractNumId w:val="26"/>
  </w:num>
  <w:num w:numId="15">
    <w:abstractNumId w:val="13"/>
  </w:num>
  <w:num w:numId="16">
    <w:abstractNumId w:val="3"/>
  </w:num>
  <w:num w:numId="17">
    <w:abstractNumId w:val="5"/>
  </w:num>
  <w:num w:numId="18">
    <w:abstractNumId w:val="8"/>
  </w:num>
  <w:num w:numId="19">
    <w:abstractNumId w:val="22"/>
  </w:num>
  <w:num w:numId="20">
    <w:abstractNumId w:val="12"/>
  </w:num>
  <w:num w:numId="21">
    <w:abstractNumId w:val="18"/>
  </w:num>
  <w:num w:numId="22">
    <w:abstractNumId w:val="15"/>
  </w:num>
  <w:num w:numId="23">
    <w:abstractNumId w:val="16"/>
  </w:num>
  <w:num w:numId="24">
    <w:abstractNumId w:val="9"/>
  </w:num>
  <w:num w:numId="25">
    <w:abstractNumId w:val="2"/>
  </w:num>
  <w:num w:numId="26">
    <w:abstractNumId w:val="27"/>
  </w:num>
  <w:num w:numId="27">
    <w:abstractNumId w:val="11"/>
  </w:num>
  <w:num w:numId="28">
    <w:abstractNumId w:val="14"/>
  </w:num>
  <w:num w:numId="2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5639"/>
    <w:rsid w:val="000154CE"/>
    <w:rsid w:val="00015748"/>
    <w:rsid w:val="00015F1B"/>
    <w:rsid w:val="00024CED"/>
    <w:rsid w:val="0003174D"/>
    <w:rsid w:val="000336A6"/>
    <w:rsid w:val="000573FA"/>
    <w:rsid w:val="00057B98"/>
    <w:rsid w:val="000616D7"/>
    <w:rsid w:val="00083636"/>
    <w:rsid w:val="00096726"/>
    <w:rsid w:val="000A4C5A"/>
    <w:rsid w:val="000B0111"/>
    <w:rsid w:val="000B0E6D"/>
    <w:rsid w:val="000B5C1B"/>
    <w:rsid w:val="000B6132"/>
    <w:rsid w:val="000B619E"/>
    <w:rsid w:val="000C5F5F"/>
    <w:rsid w:val="000D4A28"/>
    <w:rsid w:val="000E0A9B"/>
    <w:rsid w:val="000E1145"/>
    <w:rsid w:val="000E26A8"/>
    <w:rsid w:val="000E777F"/>
    <w:rsid w:val="0010244D"/>
    <w:rsid w:val="00104868"/>
    <w:rsid w:val="00106DC0"/>
    <w:rsid w:val="0011585C"/>
    <w:rsid w:val="00127759"/>
    <w:rsid w:val="00127AA2"/>
    <w:rsid w:val="001350CE"/>
    <w:rsid w:val="00137F3A"/>
    <w:rsid w:val="0014021C"/>
    <w:rsid w:val="0014339D"/>
    <w:rsid w:val="001443EC"/>
    <w:rsid w:val="0017675D"/>
    <w:rsid w:val="00177751"/>
    <w:rsid w:val="00181291"/>
    <w:rsid w:val="00181BD8"/>
    <w:rsid w:val="00181FF8"/>
    <w:rsid w:val="00183147"/>
    <w:rsid w:val="0018494E"/>
    <w:rsid w:val="00185A4B"/>
    <w:rsid w:val="001866CA"/>
    <w:rsid w:val="0018751C"/>
    <w:rsid w:val="0019501C"/>
    <w:rsid w:val="001951F9"/>
    <w:rsid w:val="001A0012"/>
    <w:rsid w:val="001B08AA"/>
    <w:rsid w:val="001B3476"/>
    <w:rsid w:val="001B59B7"/>
    <w:rsid w:val="001C1B31"/>
    <w:rsid w:val="001C242F"/>
    <w:rsid w:val="001C31F0"/>
    <w:rsid w:val="001C752D"/>
    <w:rsid w:val="001D3250"/>
    <w:rsid w:val="001E39A8"/>
    <w:rsid w:val="001E72F4"/>
    <w:rsid w:val="00204F70"/>
    <w:rsid w:val="0021076C"/>
    <w:rsid w:val="00214DAB"/>
    <w:rsid w:val="002169BE"/>
    <w:rsid w:val="00217B74"/>
    <w:rsid w:val="00226A0E"/>
    <w:rsid w:val="0023477D"/>
    <w:rsid w:val="00237C5F"/>
    <w:rsid w:val="00242716"/>
    <w:rsid w:val="00242DFF"/>
    <w:rsid w:val="002510F5"/>
    <w:rsid w:val="00251CCA"/>
    <w:rsid w:val="00254C34"/>
    <w:rsid w:val="002576CC"/>
    <w:rsid w:val="002647E6"/>
    <w:rsid w:val="0026599A"/>
    <w:rsid w:val="002669E6"/>
    <w:rsid w:val="002745ED"/>
    <w:rsid w:val="00275CD3"/>
    <w:rsid w:val="0027748E"/>
    <w:rsid w:val="0028008A"/>
    <w:rsid w:val="00281E96"/>
    <w:rsid w:val="00295E03"/>
    <w:rsid w:val="002A11B2"/>
    <w:rsid w:val="002A2534"/>
    <w:rsid w:val="002A68B7"/>
    <w:rsid w:val="002B1059"/>
    <w:rsid w:val="002B1AAC"/>
    <w:rsid w:val="002C3F3A"/>
    <w:rsid w:val="002D54ED"/>
    <w:rsid w:val="002D6F35"/>
    <w:rsid w:val="002E4DB2"/>
    <w:rsid w:val="002F1815"/>
    <w:rsid w:val="002F4C38"/>
    <w:rsid w:val="003013BB"/>
    <w:rsid w:val="003048BE"/>
    <w:rsid w:val="003077CA"/>
    <w:rsid w:val="00307E62"/>
    <w:rsid w:val="003141ED"/>
    <w:rsid w:val="0031452B"/>
    <w:rsid w:val="00323851"/>
    <w:rsid w:val="00323BA0"/>
    <w:rsid w:val="0033633F"/>
    <w:rsid w:val="00346EBC"/>
    <w:rsid w:val="00356A1B"/>
    <w:rsid w:val="00360328"/>
    <w:rsid w:val="003626E4"/>
    <w:rsid w:val="00363D21"/>
    <w:rsid w:val="003741B5"/>
    <w:rsid w:val="00377A39"/>
    <w:rsid w:val="00380D3A"/>
    <w:rsid w:val="00381250"/>
    <w:rsid w:val="00383CF3"/>
    <w:rsid w:val="0039232B"/>
    <w:rsid w:val="003A359E"/>
    <w:rsid w:val="003A7C49"/>
    <w:rsid w:val="003B278C"/>
    <w:rsid w:val="003B4947"/>
    <w:rsid w:val="003C00FD"/>
    <w:rsid w:val="003C2125"/>
    <w:rsid w:val="003D4CF9"/>
    <w:rsid w:val="003D5ABE"/>
    <w:rsid w:val="003D665A"/>
    <w:rsid w:val="003E3DF5"/>
    <w:rsid w:val="003F0C59"/>
    <w:rsid w:val="003F40D8"/>
    <w:rsid w:val="003F69EB"/>
    <w:rsid w:val="004126E8"/>
    <w:rsid w:val="00421AC7"/>
    <w:rsid w:val="00425B6C"/>
    <w:rsid w:val="0044428E"/>
    <w:rsid w:val="00455800"/>
    <w:rsid w:val="00456EDB"/>
    <w:rsid w:val="00457D74"/>
    <w:rsid w:val="00472776"/>
    <w:rsid w:val="00493166"/>
    <w:rsid w:val="00497AEF"/>
    <w:rsid w:val="004A33AE"/>
    <w:rsid w:val="004A66C4"/>
    <w:rsid w:val="004A76A5"/>
    <w:rsid w:val="004B2289"/>
    <w:rsid w:val="004B2DBD"/>
    <w:rsid w:val="004C6CFF"/>
    <w:rsid w:val="004D41DE"/>
    <w:rsid w:val="004E662D"/>
    <w:rsid w:val="004F5287"/>
    <w:rsid w:val="004F5ADF"/>
    <w:rsid w:val="00500439"/>
    <w:rsid w:val="00512DE8"/>
    <w:rsid w:val="00513040"/>
    <w:rsid w:val="00515927"/>
    <w:rsid w:val="00521741"/>
    <w:rsid w:val="00521DD8"/>
    <w:rsid w:val="00521EA2"/>
    <w:rsid w:val="00527A85"/>
    <w:rsid w:val="00531262"/>
    <w:rsid w:val="005323A5"/>
    <w:rsid w:val="00537C27"/>
    <w:rsid w:val="005418A7"/>
    <w:rsid w:val="00544E65"/>
    <w:rsid w:val="00555BD1"/>
    <w:rsid w:val="005651B3"/>
    <w:rsid w:val="005759DA"/>
    <w:rsid w:val="005829D6"/>
    <w:rsid w:val="00586449"/>
    <w:rsid w:val="005A26AD"/>
    <w:rsid w:val="005A4AD4"/>
    <w:rsid w:val="005B5EC7"/>
    <w:rsid w:val="005C34FE"/>
    <w:rsid w:val="005C4ED6"/>
    <w:rsid w:val="005C7AA3"/>
    <w:rsid w:val="005D3CAE"/>
    <w:rsid w:val="005D4FAC"/>
    <w:rsid w:val="005E2B6D"/>
    <w:rsid w:val="005F34F8"/>
    <w:rsid w:val="00603BB9"/>
    <w:rsid w:val="00606DBD"/>
    <w:rsid w:val="006110E7"/>
    <w:rsid w:val="00615145"/>
    <w:rsid w:val="00621DA0"/>
    <w:rsid w:val="00623235"/>
    <w:rsid w:val="00623C46"/>
    <w:rsid w:val="0064794D"/>
    <w:rsid w:val="006527E4"/>
    <w:rsid w:val="00654799"/>
    <w:rsid w:val="0065537B"/>
    <w:rsid w:val="006572A4"/>
    <w:rsid w:val="006729F9"/>
    <w:rsid w:val="0067601E"/>
    <w:rsid w:val="00686C7F"/>
    <w:rsid w:val="00694AD2"/>
    <w:rsid w:val="00695C8D"/>
    <w:rsid w:val="006A1ED6"/>
    <w:rsid w:val="006A2F52"/>
    <w:rsid w:val="006A5990"/>
    <w:rsid w:val="006B206E"/>
    <w:rsid w:val="006C5335"/>
    <w:rsid w:val="006D6306"/>
    <w:rsid w:val="006E46D5"/>
    <w:rsid w:val="006E554D"/>
    <w:rsid w:val="006F11C9"/>
    <w:rsid w:val="006F23C6"/>
    <w:rsid w:val="006F70CE"/>
    <w:rsid w:val="006F7619"/>
    <w:rsid w:val="00700FEB"/>
    <w:rsid w:val="0070423B"/>
    <w:rsid w:val="007062BB"/>
    <w:rsid w:val="00706B5E"/>
    <w:rsid w:val="00707CE3"/>
    <w:rsid w:val="00710558"/>
    <w:rsid w:val="00710DE9"/>
    <w:rsid w:val="00711FC4"/>
    <w:rsid w:val="00714147"/>
    <w:rsid w:val="0072208D"/>
    <w:rsid w:val="007221CD"/>
    <w:rsid w:val="00732737"/>
    <w:rsid w:val="0076175B"/>
    <w:rsid w:val="00762CE0"/>
    <w:rsid w:val="00771D40"/>
    <w:rsid w:val="00773ED5"/>
    <w:rsid w:val="007818A8"/>
    <w:rsid w:val="007872A5"/>
    <w:rsid w:val="0078733B"/>
    <w:rsid w:val="0079102C"/>
    <w:rsid w:val="00791949"/>
    <w:rsid w:val="00794569"/>
    <w:rsid w:val="0079627C"/>
    <w:rsid w:val="007A149B"/>
    <w:rsid w:val="007A245D"/>
    <w:rsid w:val="007C5997"/>
    <w:rsid w:val="007C7D27"/>
    <w:rsid w:val="007E7C87"/>
    <w:rsid w:val="007F0EF8"/>
    <w:rsid w:val="00800065"/>
    <w:rsid w:val="00803086"/>
    <w:rsid w:val="00806F0A"/>
    <w:rsid w:val="008102AB"/>
    <w:rsid w:val="008151B6"/>
    <w:rsid w:val="00816124"/>
    <w:rsid w:val="00820204"/>
    <w:rsid w:val="00826719"/>
    <w:rsid w:val="0083113B"/>
    <w:rsid w:val="00837EB6"/>
    <w:rsid w:val="008506F3"/>
    <w:rsid w:val="00853971"/>
    <w:rsid w:val="00860DA6"/>
    <w:rsid w:val="00861686"/>
    <w:rsid w:val="008631DE"/>
    <w:rsid w:val="00865B6D"/>
    <w:rsid w:val="008670A5"/>
    <w:rsid w:val="008671F1"/>
    <w:rsid w:val="00876E0A"/>
    <w:rsid w:val="00880933"/>
    <w:rsid w:val="00886CAE"/>
    <w:rsid w:val="008A1147"/>
    <w:rsid w:val="008A7A59"/>
    <w:rsid w:val="008B7E72"/>
    <w:rsid w:val="008C18E2"/>
    <w:rsid w:val="008C1DB4"/>
    <w:rsid w:val="008D2963"/>
    <w:rsid w:val="008D4B3C"/>
    <w:rsid w:val="008E0CD8"/>
    <w:rsid w:val="008F78D1"/>
    <w:rsid w:val="00903B0E"/>
    <w:rsid w:val="0090687C"/>
    <w:rsid w:val="0091275F"/>
    <w:rsid w:val="00915CC5"/>
    <w:rsid w:val="009173D9"/>
    <w:rsid w:val="00934530"/>
    <w:rsid w:val="00937533"/>
    <w:rsid w:val="00940022"/>
    <w:rsid w:val="00941B66"/>
    <w:rsid w:val="00942258"/>
    <w:rsid w:val="00945EDA"/>
    <w:rsid w:val="00946526"/>
    <w:rsid w:val="0094788B"/>
    <w:rsid w:val="00952AE1"/>
    <w:rsid w:val="00956470"/>
    <w:rsid w:val="00956AFB"/>
    <w:rsid w:val="00967049"/>
    <w:rsid w:val="00971F4D"/>
    <w:rsid w:val="00981023"/>
    <w:rsid w:val="00990D8E"/>
    <w:rsid w:val="009A28FC"/>
    <w:rsid w:val="009B4BD6"/>
    <w:rsid w:val="009B6C9C"/>
    <w:rsid w:val="009C7476"/>
    <w:rsid w:val="009C7FB6"/>
    <w:rsid w:val="009D1FE0"/>
    <w:rsid w:val="009E0B85"/>
    <w:rsid w:val="009E16BC"/>
    <w:rsid w:val="009E33BA"/>
    <w:rsid w:val="009E49C4"/>
    <w:rsid w:val="009F0164"/>
    <w:rsid w:val="009F0DDA"/>
    <w:rsid w:val="009F1256"/>
    <w:rsid w:val="00A05BA2"/>
    <w:rsid w:val="00A10F3F"/>
    <w:rsid w:val="00A110A7"/>
    <w:rsid w:val="00A12063"/>
    <w:rsid w:val="00A177D7"/>
    <w:rsid w:val="00A308F1"/>
    <w:rsid w:val="00A32E6C"/>
    <w:rsid w:val="00A373B5"/>
    <w:rsid w:val="00A37688"/>
    <w:rsid w:val="00A44477"/>
    <w:rsid w:val="00A54041"/>
    <w:rsid w:val="00A651BF"/>
    <w:rsid w:val="00A67B0B"/>
    <w:rsid w:val="00A700F7"/>
    <w:rsid w:val="00A72784"/>
    <w:rsid w:val="00A80ADA"/>
    <w:rsid w:val="00A821B7"/>
    <w:rsid w:val="00A8368B"/>
    <w:rsid w:val="00A928F3"/>
    <w:rsid w:val="00AA447F"/>
    <w:rsid w:val="00AB384D"/>
    <w:rsid w:val="00AB3CB0"/>
    <w:rsid w:val="00AC3C14"/>
    <w:rsid w:val="00AD0522"/>
    <w:rsid w:val="00AD1C42"/>
    <w:rsid w:val="00AD28A1"/>
    <w:rsid w:val="00AD7F54"/>
    <w:rsid w:val="00AE1893"/>
    <w:rsid w:val="00AE67D8"/>
    <w:rsid w:val="00AF0A1A"/>
    <w:rsid w:val="00AF0ED2"/>
    <w:rsid w:val="00AF1B8E"/>
    <w:rsid w:val="00AF5994"/>
    <w:rsid w:val="00AF70B6"/>
    <w:rsid w:val="00AF7823"/>
    <w:rsid w:val="00B03FB5"/>
    <w:rsid w:val="00B070C3"/>
    <w:rsid w:val="00B13595"/>
    <w:rsid w:val="00B3150D"/>
    <w:rsid w:val="00B3306B"/>
    <w:rsid w:val="00B33AEC"/>
    <w:rsid w:val="00B42376"/>
    <w:rsid w:val="00B535F4"/>
    <w:rsid w:val="00B54261"/>
    <w:rsid w:val="00B571A0"/>
    <w:rsid w:val="00B6080E"/>
    <w:rsid w:val="00B77562"/>
    <w:rsid w:val="00B77756"/>
    <w:rsid w:val="00B81BD6"/>
    <w:rsid w:val="00B91437"/>
    <w:rsid w:val="00B917BB"/>
    <w:rsid w:val="00B937C6"/>
    <w:rsid w:val="00B94897"/>
    <w:rsid w:val="00B950A7"/>
    <w:rsid w:val="00BB0BBA"/>
    <w:rsid w:val="00BB6688"/>
    <w:rsid w:val="00BE44B9"/>
    <w:rsid w:val="00BE7C75"/>
    <w:rsid w:val="00BE7E6A"/>
    <w:rsid w:val="00BF61F1"/>
    <w:rsid w:val="00C03B17"/>
    <w:rsid w:val="00C04F4C"/>
    <w:rsid w:val="00C24463"/>
    <w:rsid w:val="00C261A5"/>
    <w:rsid w:val="00C342EA"/>
    <w:rsid w:val="00C37D1C"/>
    <w:rsid w:val="00C4387F"/>
    <w:rsid w:val="00C546C1"/>
    <w:rsid w:val="00C607B0"/>
    <w:rsid w:val="00C64109"/>
    <w:rsid w:val="00C67F93"/>
    <w:rsid w:val="00C70A60"/>
    <w:rsid w:val="00C72085"/>
    <w:rsid w:val="00C80F25"/>
    <w:rsid w:val="00C81F67"/>
    <w:rsid w:val="00C8689D"/>
    <w:rsid w:val="00C96802"/>
    <w:rsid w:val="00CA5B17"/>
    <w:rsid w:val="00CB4640"/>
    <w:rsid w:val="00CB5CDD"/>
    <w:rsid w:val="00CC1B16"/>
    <w:rsid w:val="00CC4625"/>
    <w:rsid w:val="00CC4C24"/>
    <w:rsid w:val="00CC4DA4"/>
    <w:rsid w:val="00CC6956"/>
    <w:rsid w:val="00CC7884"/>
    <w:rsid w:val="00CD082D"/>
    <w:rsid w:val="00CD2628"/>
    <w:rsid w:val="00CF2C61"/>
    <w:rsid w:val="00D00B30"/>
    <w:rsid w:val="00D02B2E"/>
    <w:rsid w:val="00D0316C"/>
    <w:rsid w:val="00D15E8F"/>
    <w:rsid w:val="00D22036"/>
    <w:rsid w:val="00D24B7F"/>
    <w:rsid w:val="00D26F7B"/>
    <w:rsid w:val="00D34CE3"/>
    <w:rsid w:val="00D37265"/>
    <w:rsid w:val="00D374E6"/>
    <w:rsid w:val="00D42A66"/>
    <w:rsid w:val="00D42EA4"/>
    <w:rsid w:val="00D470B7"/>
    <w:rsid w:val="00D60A98"/>
    <w:rsid w:val="00D62517"/>
    <w:rsid w:val="00D6529B"/>
    <w:rsid w:val="00D73F79"/>
    <w:rsid w:val="00D81A75"/>
    <w:rsid w:val="00D928A5"/>
    <w:rsid w:val="00DA2469"/>
    <w:rsid w:val="00DC136C"/>
    <w:rsid w:val="00DC6F8A"/>
    <w:rsid w:val="00DE5619"/>
    <w:rsid w:val="00DE7C82"/>
    <w:rsid w:val="00DF33C4"/>
    <w:rsid w:val="00DF49C9"/>
    <w:rsid w:val="00DF6366"/>
    <w:rsid w:val="00E05CF0"/>
    <w:rsid w:val="00E06094"/>
    <w:rsid w:val="00E06578"/>
    <w:rsid w:val="00E067DF"/>
    <w:rsid w:val="00E22CA1"/>
    <w:rsid w:val="00E36063"/>
    <w:rsid w:val="00E41324"/>
    <w:rsid w:val="00E526C9"/>
    <w:rsid w:val="00E5340D"/>
    <w:rsid w:val="00E5500B"/>
    <w:rsid w:val="00E63810"/>
    <w:rsid w:val="00E855E6"/>
    <w:rsid w:val="00E91826"/>
    <w:rsid w:val="00E91F7E"/>
    <w:rsid w:val="00E9269B"/>
    <w:rsid w:val="00EA0008"/>
    <w:rsid w:val="00EA0B00"/>
    <w:rsid w:val="00EA7C20"/>
    <w:rsid w:val="00EB471C"/>
    <w:rsid w:val="00EC42BF"/>
    <w:rsid w:val="00EC6DE3"/>
    <w:rsid w:val="00EC7DE6"/>
    <w:rsid w:val="00ED1B19"/>
    <w:rsid w:val="00ED5E25"/>
    <w:rsid w:val="00F15CE7"/>
    <w:rsid w:val="00F2111C"/>
    <w:rsid w:val="00F21367"/>
    <w:rsid w:val="00F231D1"/>
    <w:rsid w:val="00F30717"/>
    <w:rsid w:val="00F30B04"/>
    <w:rsid w:val="00F317CB"/>
    <w:rsid w:val="00F32D64"/>
    <w:rsid w:val="00F351CB"/>
    <w:rsid w:val="00F409A5"/>
    <w:rsid w:val="00F41F52"/>
    <w:rsid w:val="00F4398D"/>
    <w:rsid w:val="00F448A8"/>
    <w:rsid w:val="00F5089A"/>
    <w:rsid w:val="00F50FA6"/>
    <w:rsid w:val="00F514D8"/>
    <w:rsid w:val="00F55BEE"/>
    <w:rsid w:val="00F56726"/>
    <w:rsid w:val="00F61EC4"/>
    <w:rsid w:val="00F65F7D"/>
    <w:rsid w:val="00F67226"/>
    <w:rsid w:val="00F74E35"/>
    <w:rsid w:val="00F76634"/>
    <w:rsid w:val="00F80D2A"/>
    <w:rsid w:val="00F82FC5"/>
    <w:rsid w:val="00F911C9"/>
    <w:rsid w:val="00F94972"/>
    <w:rsid w:val="00FA25C1"/>
    <w:rsid w:val="00FA2ACE"/>
    <w:rsid w:val="00FA5140"/>
    <w:rsid w:val="00FA7C92"/>
    <w:rsid w:val="00FB7719"/>
    <w:rsid w:val="00FC1B47"/>
    <w:rsid w:val="00FC7875"/>
    <w:rsid w:val="00FD102A"/>
    <w:rsid w:val="00FD411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 w:type="paragraph" w:styleId="NoSpacing">
    <w:name w:val="No Spacing"/>
    <w:uiPriority w:val="1"/>
    <w:qFormat/>
    <w:rsid w:val="00D42A66"/>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pPr>
      <w:numPr>
        <w:numId w:val="3"/>
      </w:numPr>
    </w:pPr>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 w:type="paragraph" w:styleId="NoSpacing">
    <w:name w:val="No Spacing"/>
    <w:uiPriority w:val="1"/>
    <w:qFormat/>
    <w:rsid w:val="00D42A6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9219">
      <w:marLeft w:val="0"/>
      <w:marRight w:val="0"/>
      <w:marTop w:val="0"/>
      <w:marBottom w:val="0"/>
      <w:divBdr>
        <w:top w:val="none" w:sz="0" w:space="0" w:color="auto"/>
        <w:left w:val="none" w:sz="0" w:space="0" w:color="auto"/>
        <w:bottom w:val="none" w:sz="0" w:space="0" w:color="auto"/>
        <w:right w:val="none" w:sz="0" w:space="0" w:color="auto"/>
      </w:divBdr>
    </w:div>
    <w:div w:id="930819220">
      <w:marLeft w:val="0"/>
      <w:marRight w:val="0"/>
      <w:marTop w:val="0"/>
      <w:marBottom w:val="0"/>
      <w:divBdr>
        <w:top w:val="none" w:sz="0" w:space="0" w:color="auto"/>
        <w:left w:val="none" w:sz="0" w:space="0" w:color="auto"/>
        <w:bottom w:val="none" w:sz="0" w:space="0" w:color="auto"/>
        <w:right w:val="none" w:sz="0" w:space="0" w:color="auto"/>
      </w:divBdr>
    </w:div>
    <w:div w:id="930819221">
      <w:marLeft w:val="0"/>
      <w:marRight w:val="0"/>
      <w:marTop w:val="0"/>
      <w:marBottom w:val="0"/>
      <w:divBdr>
        <w:top w:val="none" w:sz="0" w:space="0" w:color="auto"/>
        <w:left w:val="none" w:sz="0" w:space="0" w:color="auto"/>
        <w:bottom w:val="none" w:sz="0" w:space="0" w:color="auto"/>
        <w:right w:val="none" w:sz="0" w:space="0" w:color="auto"/>
      </w:divBdr>
    </w:div>
    <w:div w:id="930819222">
      <w:marLeft w:val="0"/>
      <w:marRight w:val="0"/>
      <w:marTop w:val="0"/>
      <w:marBottom w:val="0"/>
      <w:divBdr>
        <w:top w:val="none" w:sz="0" w:space="0" w:color="auto"/>
        <w:left w:val="none" w:sz="0" w:space="0" w:color="auto"/>
        <w:bottom w:val="none" w:sz="0" w:space="0" w:color="auto"/>
        <w:right w:val="none" w:sz="0" w:space="0" w:color="auto"/>
      </w:divBdr>
    </w:div>
    <w:div w:id="930819223">
      <w:marLeft w:val="0"/>
      <w:marRight w:val="0"/>
      <w:marTop w:val="0"/>
      <w:marBottom w:val="0"/>
      <w:divBdr>
        <w:top w:val="none" w:sz="0" w:space="0" w:color="auto"/>
        <w:left w:val="none" w:sz="0" w:space="0" w:color="auto"/>
        <w:bottom w:val="none" w:sz="0" w:space="0" w:color="auto"/>
        <w:right w:val="none" w:sz="0" w:space="0" w:color="auto"/>
      </w:divBdr>
    </w:div>
    <w:div w:id="930819224">
      <w:marLeft w:val="0"/>
      <w:marRight w:val="0"/>
      <w:marTop w:val="0"/>
      <w:marBottom w:val="0"/>
      <w:divBdr>
        <w:top w:val="none" w:sz="0" w:space="0" w:color="auto"/>
        <w:left w:val="none" w:sz="0" w:space="0" w:color="auto"/>
        <w:bottom w:val="none" w:sz="0" w:space="0" w:color="auto"/>
        <w:right w:val="none" w:sz="0" w:space="0" w:color="auto"/>
      </w:divBdr>
    </w:div>
    <w:div w:id="930819225">
      <w:marLeft w:val="0"/>
      <w:marRight w:val="0"/>
      <w:marTop w:val="0"/>
      <w:marBottom w:val="0"/>
      <w:divBdr>
        <w:top w:val="none" w:sz="0" w:space="0" w:color="auto"/>
        <w:left w:val="none" w:sz="0" w:space="0" w:color="auto"/>
        <w:bottom w:val="none" w:sz="0" w:space="0" w:color="auto"/>
        <w:right w:val="none" w:sz="0" w:space="0" w:color="auto"/>
      </w:divBdr>
    </w:div>
    <w:div w:id="930819226">
      <w:marLeft w:val="0"/>
      <w:marRight w:val="0"/>
      <w:marTop w:val="0"/>
      <w:marBottom w:val="0"/>
      <w:divBdr>
        <w:top w:val="none" w:sz="0" w:space="0" w:color="auto"/>
        <w:left w:val="none" w:sz="0" w:space="0" w:color="auto"/>
        <w:bottom w:val="none" w:sz="0" w:space="0" w:color="auto"/>
        <w:right w:val="none" w:sz="0" w:space="0" w:color="auto"/>
      </w:divBdr>
    </w:div>
    <w:div w:id="930819227">
      <w:marLeft w:val="0"/>
      <w:marRight w:val="0"/>
      <w:marTop w:val="0"/>
      <w:marBottom w:val="0"/>
      <w:divBdr>
        <w:top w:val="none" w:sz="0" w:space="0" w:color="auto"/>
        <w:left w:val="none" w:sz="0" w:space="0" w:color="auto"/>
        <w:bottom w:val="none" w:sz="0" w:space="0" w:color="auto"/>
        <w:right w:val="none" w:sz="0" w:space="0" w:color="auto"/>
      </w:divBdr>
    </w:div>
    <w:div w:id="930819228">
      <w:marLeft w:val="0"/>
      <w:marRight w:val="0"/>
      <w:marTop w:val="0"/>
      <w:marBottom w:val="0"/>
      <w:divBdr>
        <w:top w:val="none" w:sz="0" w:space="0" w:color="auto"/>
        <w:left w:val="none" w:sz="0" w:space="0" w:color="auto"/>
        <w:bottom w:val="none" w:sz="0" w:space="0" w:color="auto"/>
        <w:right w:val="none" w:sz="0" w:space="0" w:color="auto"/>
      </w:divBdr>
    </w:div>
    <w:div w:id="930819229">
      <w:marLeft w:val="0"/>
      <w:marRight w:val="0"/>
      <w:marTop w:val="0"/>
      <w:marBottom w:val="0"/>
      <w:divBdr>
        <w:top w:val="none" w:sz="0" w:space="0" w:color="auto"/>
        <w:left w:val="none" w:sz="0" w:space="0" w:color="auto"/>
        <w:bottom w:val="none" w:sz="0" w:space="0" w:color="auto"/>
        <w:right w:val="none" w:sz="0" w:space="0" w:color="auto"/>
      </w:divBdr>
    </w:div>
    <w:div w:id="930819230">
      <w:marLeft w:val="0"/>
      <w:marRight w:val="0"/>
      <w:marTop w:val="0"/>
      <w:marBottom w:val="0"/>
      <w:divBdr>
        <w:top w:val="none" w:sz="0" w:space="0" w:color="auto"/>
        <w:left w:val="none" w:sz="0" w:space="0" w:color="auto"/>
        <w:bottom w:val="none" w:sz="0" w:space="0" w:color="auto"/>
        <w:right w:val="none" w:sz="0" w:space="0" w:color="auto"/>
      </w:divBdr>
    </w:div>
    <w:div w:id="930819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58A86-38A0-46E2-8E29-933CCE9C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190808E9</Template>
  <TotalTime>285</TotalTime>
  <Pages>9</Pages>
  <Words>2875</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cphythian</cp:lastModifiedBy>
  <cp:revision>17</cp:revision>
  <cp:lastPrinted>2004-03-16T16:29:00Z</cp:lastPrinted>
  <dcterms:created xsi:type="dcterms:W3CDTF">2018-11-21T15:36:00Z</dcterms:created>
  <dcterms:modified xsi:type="dcterms:W3CDTF">2018-12-03T14:17:00Z</dcterms:modified>
</cp:coreProperties>
</file>